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xmlns:wp14="http://schemas.microsoft.com/office/word/2010/wordml" w:rsidP="6D8317B4" wp14:paraId="6FBCB77A" wp14:textId="136D7761">
      <w:pPr>
        <w:pStyle w:val="Title"/>
        <w:pBdr>
          <w:bottom w:val="single" w:color="4F81BD" w:sz="8" w:space="4"/>
        </w:pBdr>
        <w:spacing w:after="3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</w:pPr>
      <w:commentRangeStart w:id="1234007887"/>
      <w:r w:rsidRPr="6D8317B4" w:rsidR="4DEFD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  <w:t>3.3</w:t>
      </w:r>
      <w:r w:rsidRPr="6D8317B4" w:rsidR="5C4ABF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  <w:t xml:space="preserve"> Officer and Operational </w:t>
      </w:r>
      <w:r w:rsidRPr="6D8317B4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  <w:t>Governance Tool and User Guide:</w:t>
      </w:r>
    </w:p>
    <w:p xmlns:wp14="http://schemas.microsoft.com/office/word/2010/wordml" w:rsidP="00FC8D19" wp14:paraId="6CF3183E" wp14:textId="6821B796">
      <w:pPr>
        <w:pStyle w:val="Title"/>
        <w:pBdr>
          <w:bottom w:val="single" w:color="4F81BD" w:sz="8" w:space="4"/>
        </w:pBdr>
        <w:spacing w:after="3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</w:pPr>
      <w:r w:rsidRPr="6D8317B4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  <w:t>Terms of Reference (</w:t>
      </w:r>
      <w:r w:rsidRPr="6D8317B4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  <w:t>ToR</w:t>
      </w:r>
      <w:r w:rsidRPr="6D8317B4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  <w:t xml:space="preserve">) </w:t>
      </w:r>
      <w:commentRangeEnd w:id="1234007887"/>
      <w:r>
        <w:rPr>
          <w:rStyle w:val="CommentReference"/>
        </w:rPr>
        <w:commentReference w:id="1234007887"/>
      </w:r>
    </w:p>
    <w:p xmlns:wp14="http://schemas.microsoft.com/office/word/2010/wordml" w:rsidP="00FC8D19" wp14:paraId="7CC612BC" wp14:textId="230FDDAF">
      <w:pPr>
        <w:pStyle w:val="Heading1"/>
        <w:keepNext w:val="1"/>
        <w:keepLines w:val="1"/>
        <w:spacing w:before="480" w:after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0FC8D19" w:rsidR="40C01A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How to complete the Governance </w:t>
      </w:r>
      <w:r w:rsidRPr="00FC8D19" w:rsidR="40C01A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ToR</w:t>
      </w:r>
      <w:r w:rsidRPr="00FC8D19" w:rsidR="40C01A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template (Appendix A)</w:t>
      </w:r>
    </w:p>
    <w:p xmlns:wp14="http://schemas.microsoft.com/office/word/2010/wordml" w:rsidP="00FC8D19" wp14:paraId="248E8A74" wp14:textId="14203FEB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40C01A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Use this as a guidance note to </w:t>
      </w:r>
      <w:r w:rsidRPr="00FC8D19" w:rsidR="40C01A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accompany</w:t>
      </w:r>
      <w:r w:rsidRPr="00FC8D19" w:rsidR="40C01A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the template</w:t>
      </w:r>
      <w:r w:rsidRPr="00FC8D19" w:rsidR="71D4BB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</w:t>
      </w:r>
      <w:r w:rsidRPr="00FC8D19" w:rsidR="40C01A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</w:p>
    <w:p xmlns:wp14="http://schemas.microsoft.com/office/word/2010/wordml" w:rsidP="00FC8D19" wp14:paraId="724A91C6" wp14:textId="159B09C7">
      <w:pPr>
        <w:pStyle w:val="Heading2"/>
        <w:keepNext w:val="1"/>
        <w:keepLines w:val="1"/>
        <w:spacing w:before="200" w:after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6"/>
          <w:szCs w:val="26"/>
          <w:lang w:val="en-US"/>
        </w:rPr>
      </w:pPr>
      <w:r w:rsidRPr="00FC8D19" w:rsidR="6F4964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6"/>
          <w:szCs w:val="26"/>
          <w:lang w:val="en-US"/>
        </w:rPr>
        <w:t>3.1 Section‑by‑section completion tips</w:t>
      </w:r>
    </w:p>
    <w:p xmlns:wp14="http://schemas.microsoft.com/office/word/2010/wordml" w:rsidP="00FC8D19" wp14:paraId="67954D23" wp14:textId="04337CD4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1. Purpose</w:t>
      </w:r>
    </w:p>
    <w:p xmlns:wp14="http://schemas.microsoft.com/office/word/2010/wordml" w:rsidP="00FC8D19" wp14:paraId="6E704AB8" wp14:textId="75913F7E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Write this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last, but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place it first. Keep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it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to 3 - 4 sentences: what this board does, how decisions are gated, and how change is handled. Reference evidence sign‑off and statutory stages explicitly. </w:t>
      </w:r>
      <w:hyperlink r:id="R3591e8f756e2476a">
        <w:r w:rsidRPr="00FC8D19" w:rsidR="6F49647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2"/>
            <w:szCs w:val="22"/>
            <w:lang w:val="en-US"/>
          </w:rPr>
          <w:t>[</w:t>
        </w:r>
      </w:hyperlink>
    </w:p>
    <w:p xmlns:wp14="http://schemas.microsoft.com/office/word/2010/wordml" w:rsidP="00FC8D19" wp14:paraId="557FA345" wp14:textId="30E85C22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2. Scope</w:t>
      </w:r>
    </w:p>
    <w:p xmlns:wp14="http://schemas.microsoft.com/office/word/2010/wordml" w:rsidP="00FC8D19" wp14:paraId="227E8A4B" wp14:textId="6A32F96A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List </w:t>
      </w:r>
      <w:r w:rsidRPr="00FC8D19" w:rsidR="6F49647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process areas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(evidence, engagement, drafting, inter‑agency, delivery, risk) and </w:t>
      </w:r>
      <w:r w:rsidRPr="00FC8D19" w:rsidR="6F49647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interfaces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(Local Plans, LNRS, LGP, transport, health). Include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SA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/SEA approach and infrastructure pipeline. </w:t>
      </w:r>
    </w:p>
    <w:p xmlns:wp14="http://schemas.microsoft.com/office/word/2010/wordml" w:rsidP="00FC8D19" wp14:paraId="3103F10F" wp14:textId="1332BB2B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3. Membership</w:t>
      </w:r>
    </w:p>
    <w:p xmlns:wp14="http://schemas.microsoft.com/office/word/2010/wordml" w:rsidP="00FC8D19" wp14:paraId="205C9B77" wp14:textId="54219EDC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Start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lean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but multidisciplinary. Ensure coverage for </w:t>
      </w:r>
      <w:r w:rsidRPr="00FC8D19" w:rsidR="6F4964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policy, </w:t>
      </w:r>
      <w:r w:rsidRPr="00FC8D19" w:rsidR="6F4964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programme</w:t>
      </w:r>
      <w:r w:rsidRPr="00FC8D19" w:rsidR="6F4964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evidence, data, engagement, infrastructure, finance/investment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plus LPA reps. Name deputies to derisk quorum. </w:t>
      </w:r>
    </w:p>
    <w:p xmlns:wp14="http://schemas.microsoft.com/office/word/2010/wordml" w:rsidP="00FC8D19" wp14:paraId="50F3C61B" wp14:textId="25143C91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4. Quorum</w:t>
      </w:r>
    </w:p>
    <w:p xmlns:wp14="http://schemas.microsoft.com/office/word/2010/wordml" w:rsidP="00FC8D19" wp14:paraId="2F69EB73" wp14:textId="4ADE82ED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Set a rule that keeps the board functional (Chair/Deputy + three function leads + one LPA). Add a Chair’s Action route for urgent business with rapid ratification. </w:t>
      </w:r>
    </w:p>
    <w:p xmlns:wp14="http://schemas.microsoft.com/office/word/2010/wordml" w:rsidP="00FC8D19" wp14:paraId="42E19865" wp14:textId="10D4BDD7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5. Decision Gateways</w:t>
      </w:r>
    </w:p>
    <w:p xmlns:wp14="http://schemas.microsoft.com/office/word/2010/wordml" w:rsidP="1AB57FA0" wp14:paraId="478C3BD9" wp14:textId="5780CDB9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B57FA0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Time gateways to the </w:t>
      </w:r>
      <w:r w:rsidRPr="1AB57FA0" w:rsidR="6F4964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evidence audit → vision → drafting → consultation → submission</w:t>
      </w:r>
      <w:r w:rsidRPr="1AB57FA0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rhythm. For each gateway, list: decisions, artefacts </w:t>
      </w:r>
      <w:r w:rsidRPr="1AB57FA0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required</w:t>
      </w:r>
      <w:r w:rsidRPr="1AB57FA0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and success criteria. </w:t>
      </w:r>
      <w:r w:rsidRPr="1AB57FA0" w:rsidR="04864E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Consider evidence</w:t>
      </w:r>
      <w:r w:rsidRPr="1AB57FA0" w:rsidR="0B1E0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1AB57FA0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commissions </w:t>
      </w:r>
      <w:r w:rsidRPr="1AB57FA0" w:rsidR="5D7B65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carefully </w:t>
      </w:r>
      <w:r w:rsidRPr="1AB57FA0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until</w:t>
      </w:r>
      <w:r w:rsidRPr="1AB57FA0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national evidence expectations are clearer. </w:t>
      </w:r>
    </w:p>
    <w:p xmlns:wp14="http://schemas.microsoft.com/office/word/2010/wordml" w:rsidP="00FC8D19" wp14:paraId="0328761A" wp14:textId="7AEAE1D6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0FC8D19" wp14:paraId="67F93F43" wp14:textId="31E523F9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6. Papers &amp; Sign‑off</w:t>
      </w:r>
    </w:p>
    <w:p xmlns:wp14="http://schemas.microsoft.com/office/word/2010/wordml" w:rsidP="00FC8D19" wp14:paraId="52E72371" wp14:textId="3996400C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Use a standard cover sheet (purpose, decision, link to outcomes, legal/data/privacy, finance, engagement, risk). Set a 5‑day circulation rule and a 2‑day decision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log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publication rule. Evidence sign‑off requires Evidence + Data concurrence. </w:t>
      </w:r>
    </w:p>
    <w:p xmlns:wp14="http://schemas.microsoft.com/office/word/2010/wordml" w:rsidP="00FC8D19" wp14:paraId="6AFCC9D2" wp14:textId="1ECED424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7. Escalation &amp; Change</w:t>
      </w:r>
    </w:p>
    <w:p xmlns:wp14="http://schemas.microsoft.com/office/word/2010/wordml" w:rsidP="00FC8D19" wp14:paraId="3D6C4899" wp14:textId="1C7A6200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Define a 10‑day escalation ladder (Chair → Leaders/Board). Every structural change (LGR/devolution)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triggers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 re‑baseline at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next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gateway. Keep a change log overseen by the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Programme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Manager.</w:t>
      </w:r>
    </w:p>
    <w:p xmlns:wp14="http://schemas.microsoft.com/office/word/2010/wordml" w:rsidP="00FC8D19" wp14:paraId="4584EA9D" wp14:textId="1E3F2D38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8. Collaboration Protocols</w:t>
      </w:r>
    </w:p>
    <w:p xmlns:wp14="http://schemas.microsoft.com/office/word/2010/wordml" w:rsidP="00FC8D19" wp14:paraId="5A2FC797" wp14:textId="0418D886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Prepare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MoUs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/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SoCG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for joint evidence and shared procurement. Add a </w:t>
      </w:r>
      <w:r w:rsidRPr="00FC8D19" w:rsidR="6F4964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licensing register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(open vs. PSGA/OS) and simple data sharing agreements. Publish a public register of collaboration instruments.</w:t>
      </w:r>
    </w:p>
    <w:p xmlns:wp14="http://schemas.microsoft.com/office/word/2010/wordml" w:rsidP="00FC8D19" wp14:paraId="7DAB3B66" wp14:textId="77A24819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9. Review</w:t>
      </w:r>
    </w:p>
    <w:p xmlns:wp14="http://schemas.microsoft.com/office/word/2010/wordml" w:rsidP="00FC8D19" wp14:paraId="5C151B17" wp14:textId="4F6E0D96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Commit to quarterly reviews and post‑review update notes (what changed, why, impact). Keep the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ToR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“living” through the gateways. </w:t>
      </w:r>
    </w:p>
    <w:p xmlns:wp14="http://schemas.microsoft.com/office/word/2010/wordml" w:rsidP="00FC8D19" wp14:paraId="07D1D4BC" wp14:textId="175C11E7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10. Digital &amp; Data Governance </w:t>
      </w:r>
    </w:p>
    <w:p xmlns:wp14="http://schemas.microsoft.com/office/word/2010/wordml" w:rsidP="00FC8D19" wp14:paraId="32034FC5" wp14:textId="4AD23FA8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Name roles (Evidence Product Lead, GIS/Data Engineer, Dataset Stewards). Maintain a machine‑readable catalogue; quarterly updates; align to national tools; publish a short quarterly evidence/data update.</w:t>
      </w:r>
    </w:p>
    <w:p xmlns:wp14="http://schemas.microsoft.com/office/word/2010/wordml" w:rsidP="00FC8D19" wp14:paraId="40C94C14" wp14:textId="507308D8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11. Inter‑Agency &amp; Infrastructure </w:t>
      </w:r>
    </w:p>
    <w:p xmlns:wp14="http://schemas.microsoft.com/office/word/2010/wordml" w:rsidP="00FC8D19" wp14:paraId="4F200ACB" wp14:textId="1F5395BB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Nominate a liaison; keep an infrastructure pipeline register with cross‑boundary schemes; review at G1–G3; ensure early engagement with NESO/NISTA.</w:t>
      </w:r>
    </w:p>
    <w:p xmlns:wp14="http://schemas.microsoft.com/office/word/2010/wordml" w:rsidP="00FC8D19" wp14:paraId="696F2B8A" wp14:textId="045BC49D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12. Communications &amp; Member Engagement </w:t>
      </w:r>
    </w:p>
    <w:p xmlns:wp14="http://schemas.microsoft.com/office/word/2010/wordml" w:rsidP="00FC8D19" wp14:paraId="04031C63" wp14:textId="77CF57BD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Maintain an SDS narrative, member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programme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and glossary. Require plain English and visual summaries in all papers. </w:t>
      </w:r>
    </w:p>
    <w:p xmlns:wp14="http://schemas.microsoft.com/office/word/2010/wordml" w:rsidP="00FC8D19" wp14:paraId="14C29E6A" wp14:textId="2704DB7C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0FC8D19" wp14:paraId="1A1466A8" wp14:textId="7E889816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0FC8D19" wp14:paraId="0F3644D3" wp14:textId="5FA56DA3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13. Risk &amp; Assurance </w:t>
      </w:r>
    </w:p>
    <w:p xmlns:wp14="http://schemas.microsoft.com/office/word/2010/wordml" w:rsidP="00FC8D19" wp14:paraId="5024C09E" wp14:textId="4511679D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Keep a live risk register and an assurance map (legal, SEA/SA, data/licensing, finance, equality). Monthly review; escalate reds.</w:t>
      </w:r>
    </w:p>
    <w:p xmlns:wp14="http://schemas.microsoft.com/office/word/2010/wordml" w:rsidP="00FC8D19" wp14:paraId="43972C00" wp14:textId="262BF7D7">
      <w:pPr>
        <w:pStyle w:val="Heading2"/>
        <w:keepNext w:val="1"/>
        <w:keepLines w:val="1"/>
        <w:spacing w:before="200" w:after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6"/>
          <w:szCs w:val="26"/>
          <w:lang w:val="en-US"/>
        </w:rPr>
      </w:pPr>
      <w:r w:rsidRPr="00FC8D19" w:rsidR="6F4964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6"/>
          <w:szCs w:val="26"/>
          <w:lang w:val="en-US"/>
        </w:rPr>
        <w:t>3.2 RACI quick map (example)</w:t>
      </w:r>
    </w:p>
    <w:p xmlns:wp14="http://schemas.microsoft.com/office/word/2010/wordml" w:rsidP="00FC8D19" wp14:paraId="2F1144BE" wp14:textId="2433ED2C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</w:p>
    <w:tbl>
      <w:tblPr>
        <w:tblStyle w:val="TableNormal"/>
        <w:bidiVisual w:val="0"/>
        <w:tblW w:w="0" w:type="auto"/>
        <w:tblInd w:w="-705" w:type="dxa"/>
        <w:tblLook w:val="06A0" w:firstRow="1" w:lastRow="0" w:firstColumn="1" w:lastColumn="0" w:noHBand="1" w:noVBand="1"/>
      </w:tblPr>
      <w:tblGrid>
        <w:gridCol w:w="2205"/>
        <w:gridCol w:w="1800"/>
        <w:gridCol w:w="2010"/>
        <w:gridCol w:w="2835"/>
        <w:gridCol w:w="1695"/>
      </w:tblGrid>
      <w:tr w:rsidR="23DB93FF" w:rsidTr="00FC8D19" w14:paraId="425C5C14">
        <w:trPr>
          <w:trHeight w:val="300"/>
        </w:trPr>
        <w:tc>
          <w:tcPr>
            <w:tcW w:w="22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11291845" w14:textId="6DC3DB13">
            <w:pPr>
              <w:spacing w:before="0" w:beforeAutospacing="off" w:after="0" w:afterAutospacing="off" w:line="30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auto"/>
                <w:sz w:val="22"/>
                <w:szCs w:val="22"/>
                <w:lang w:val="en-US"/>
              </w:rPr>
              <w:t>Area</w:t>
            </w: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63D5DD12" w14:textId="149B53F8">
            <w:pPr>
              <w:spacing w:before="0" w:beforeAutospacing="off" w:after="0" w:afterAutospacing="off" w:line="30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auto"/>
                <w:sz w:val="22"/>
                <w:szCs w:val="22"/>
                <w:lang w:val="en-US"/>
              </w:rPr>
              <w:t>Accountable</w:t>
            </w:r>
          </w:p>
        </w:tc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1E33A3EA" w14:textId="1DFD8D39">
            <w:pPr>
              <w:spacing w:before="0" w:beforeAutospacing="off" w:after="0" w:afterAutospacing="off" w:line="30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auto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28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32020B3F" w14:textId="23360801">
            <w:pPr>
              <w:spacing w:before="0" w:beforeAutospacing="off" w:after="0" w:afterAutospacing="off" w:line="30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auto"/>
                <w:sz w:val="22"/>
                <w:szCs w:val="22"/>
                <w:lang w:val="en-US"/>
              </w:rPr>
              <w:t>Consulted</w:t>
            </w:r>
          </w:p>
        </w:tc>
        <w:tc>
          <w:tcPr>
            <w:tcW w:w="169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2CFFE9F0" w14:textId="0FD8BFFB">
            <w:pPr>
              <w:spacing w:before="0" w:beforeAutospacing="off" w:after="0" w:afterAutospacing="off" w:line="30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auto"/>
                <w:sz w:val="22"/>
                <w:szCs w:val="22"/>
                <w:lang w:val="en-US"/>
              </w:rPr>
              <w:t>Informed</w:t>
            </w:r>
          </w:p>
        </w:tc>
      </w:tr>
      <w:tr w:rsidR="23DB93FF" w:rsidTr="00FC8D19" w14:paraId="46E632B7">
        <w:trPr>
          <w:trHeight w:val="300"/>
        </w:trPr>
        <w:tc>
          <w:tcPr>
            <w:tcW w:w="22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7F68DB2E" w14:textId="1E647641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Evidence strategy &amp; sign‑off</w:t>
            </w: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21A8C310" w14:textId="56F57EA1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Chair</w:t>
            </w:r>
          </w:p>
        </w:tc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7F4E30FD" w14:textId="00653016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Evidence Lead</w:t>
            </w:r>
          </w:p>
        </w:tc>
        <w:tc>
          <w:tcPr>
            <w:tcW w:w="28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22E52A37" w14:textId="3067C53B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GIS/Data, LPAs, Agencies</w:t>
            </w:r>
          </w:p>
        </w:tc>
        <w:tc>
          <w:tcPr>
            <w:tcW w:w="169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73CAAF7B" w14:textId="7A2CFC1E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Leaders’ Group</w:t>
            </w:r>
          </w:p>
        </w:tc>
      </w:tr>
      <w:tr w:rsidR="23DB93FF" w:rsidTr="00FC8D19" w14:paraId="5D19FC31">
        <w:trPr>
          <w:trHeight w:val="300"/>
        </w:trPr>
        <w:tc>
          <w:tcPr>
            <w:tcW w:w="22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083644D6" w14:textId="0B4F5695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Data catalogue &amp; licensing</w:t>
            </w: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76F41488" w14:textId="44E226FF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GIS/Data Lead</w:t>
            </w:r>
          </w:p>
        </w:tc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628F6F74" w14:textId="739294C3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Dataset Stewards</w:t>
            </w:r>
          </w:p>
        </w:tc>
        <w:tc>
          <w:tcPr>
            <w:tcW w:w="28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6433139E" w14:textId="3587B8B4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Evidence Lead, Legal</w:t>
            </w:r>
          </w:p>
        </w:tc>
        <w:tc>
          <w:tcPr>
            <w:tcW w:w="169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17232DA3" w14:textId="51532F3C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All partners</w:t>
            </w:r>
          </w:p>
        </w:tc>
      </w:tr>
      <w:tr w:rsidR="23DB93FF" w:rsidTr="00FC8D19" w14:paraId="1360D5FA">
        <w:trPr>
          <w:trHeight w:val="300"/>
        </w:trPr>
        <w:tc>
          <w:tcPr>
            <w:tcW w:w="22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1FD3F26D" w14:textId="325D78A0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Engagement plan</w:t>
            </w: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296A167C" w14:textId="60A03818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Engagement Lead</w:t>
            </w:r>
          </w:p>
        </w:tc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3249F512" w14:textId="3E2BDA42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Comms Team</w:t>
            </w:r>
          </w:p>
        </w:tc>
        <w:tc>
          <w:tcPr>
            <w:tcW w:w="28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202338D3" w14:textId="2EC02954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LPAs, Members</w:t>
            </w:r>
          </w:p>
        </w:tc>
        <w:tc>
          <w:tcPr>
            <w:tcW w:w="169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19B1676C" w14:textId="6E1728DF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Public/Stakeholders</w:t>
            </w:r>
          </w:p>
        </w:tc>
      </w:tr>
      <w:tr w:rsidR="23DB93FF" w:rsidTr="00FC8D19" w14:paraId="065674E0">
        <w:trPr>
          <w:trHeight w:val="300"/>
        </w:trPr>
        <w:tc>
          <w:tcPr>
            <w:tcW w:w="22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21B632A5" w14:textId="1616D532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Infrastructure pipeline</w:t>
            </w: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56375610" w14:textId="56ED693A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Infrastructure Liaison</w:t>
            </w:r>
          </w:p>
        </w:tc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0E59E62D" w14:textId="3554B7DF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Programme</w:t>
            </w: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 xml:space="preserve"> Team</w:t>
            </w:r>
          </w:p>
        </w:tc>
        <w:tc>
          <w:tcPr>
            <w:tcW w:w="28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74D34FB3" w14:textId="2F8BF7B4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NESO/NISTA/Utilities</w:t>
            </w:r>
          </w:p>
        </w:tc>
        <w:tc>
          <w:tcPr>
            <w:tcW w:w="169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70F4E0BA" w14:textId="5864F463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Board</w:t>
            </w:r>
          </w:p>
        </w:tc>
      </w:tr>
      <w:tr w:rsidR="23DB93FF" w:rsidTr="00FC8D19" w14:paraId="300B658E">
        <w:trPr>
          <w:trHeight w:val="300"/>
        </w:trPr>
        <w:tc>
          <w:tcPr>
            <w:tcW w:w="22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5EA93488" w14:textId="4CC9CAB7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Risk &amp; assurance</w:t>
            </w:r>
          </w:p>
        </w:tc>
        <w:tc>
          <w:tcPr>
            <w:tcW w:w="1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0FB334A3" w14:textId="3215C51D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Programme</w:t>
            </w: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 xml:space="preserve"> Manager</w:t>
            </w:r>
          </w:p>
        </w:tc>
        <w:tc>
          <w:tcPr>
            <w:tcW w:w="20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41DBC245" w14:textId="7ECAADA2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Workstream Leads</w:t>
            </w:r>
          </w:p>
        </w:tc>
        <w:tc>
          <w:tcPr>
            <w:tcW w:w="28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2E73131A" w14:textId="748ADC51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Legal, Finance</w:t>
            </w:r>
          </w:p>
        </w:tc>
        <w:tc>
          <w:tcPr>
            <w:tcW w:w="169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23DB93FF" w:rsidP="00FC8D19" w:rsidRDefault="23DB93FF" w14:paraId="7C58DE57" w14:textId="10B56AA1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FC8D19" w:rsidR="46BEDC3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Leaders’ Group</w:t>
            </w:r>
          </w:p>
        </w:tc>
      </w:tr>
    </w:tbl>
    <w:p xmlns:wp14="http://schemas.microsoft.com/office/word/2010/wordml" w:rsidP="00FC8D19" wp14:paraId="2D35BDA9" wp14:textId="6B07A54B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0FC8D19" wp14:paraId="3192D861" wp14:textId="7555239D">
      <w:pPr>
        <w:pBdr>
          <w:bottom w:val="single" w:color="4F81BD" w:sz="8" w:space="4"/>
        </w:pBdr>
        <w:bidi w:val="0"/>
        <w:spacing w:after="3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</w:pPr>
    </w:p>
    <w:p xmlns:wp14="http://schemas.microsoft.com/office/word/2010/wordml" w:rsidP="00FC8D19" wp14:paraId="727B615F" wp14:textId="1CCEC161">
      <w:pPr>
        <w:pBdr>
          <w:bottom w:val="single" w:color="4F81BD" w:sz="8" w:space="4"/>
        </w:pBdr>
        <w:bidi w:val="0"/>
        <w:spacing w:after="3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</w:pPr>
    </w:p>
    <w:p xmlns:wp14="http://schemas.microsoft.com/office/word/2010/wordml" w:rsidP="00FC8D19" wp14:paraId="1E239387" wp14:textId="13464935">
      <w:pPr>
        <w:pBdr>
          <w:bottom w:val="single" w:color="4F81BD" w:sz="8" w:space="4"/>
        </w:pBdr>
        <w:bidi w:val="0"/>
        <w:spacing w:after="3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</w:pPr>
    </w:p>
    <w:p xmlns:wp14="http://schemas.microsoft.com/office/word/2010/wordml" w:rsidP="00FC8D19" wp14:paraId="6B5C9665" wp14:textId="55948263">
      <w:pPr>
        <w:pBdr>
          <w:bottom w:val="single" w:color="4F81BD" w:sz="8" w:space="4"/>
        </w:pBdr>
        <w:bidi w:val="0"/>
        <w:spacing w:after="3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</w:pPr>
    </w:p>
    <w:p xmlns:wp14="http://schemas.microsoft.com/office/word/2010/wordml" w:rsidP="00FC8D19" wp14:paraId="2B5BD91C" wp14:textId="25FC55C4">
      <w:pPr>
        <w:pBdr>
          <w:bottom w:val="single" w:color="4F81BD" w:sz="8" w:space="4"/>
        </w:pBdr>
        <w:bidi w:val="0"/>
        <w:spacing w:after="3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</w:pPr>
    </w:p>
    <w:p xmlns:wp14="http://schemas.microsoft.com/office/word/2010/wordml" w:rsidP="00FC8D19" wp14:paraId="31083CCF" wp14:textId="45A51600">
      <w:pPr>
        <w:pBdr>
          <w:bottom w:val="single" w:color="4F81BD" w:sz="8" w:space="4"/>
        </w:pBdr>
        <w:bidi w:val="0"/>
        <w:spacing w:after="3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</w:pPr>
    </w:p>
    <w:p xmlns:wp14="http://schemas.microsoft.com/office/word/2010/wordml" w:rsidP="00FC8D19" wp14:paraId="662A1581" wp14:textId="1AFB768E">
      <w:pPr>
        <w:pBdr>
          <w:bottom w:val="single" w:color="4F81BD" w:sz="8" w:space="4"/>
        </w:pBdr>
        <w:bidi w:val="0"/>
        <w:spacing w:after="3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</w:pPr>
    </w:p>
    <w:p xmlns:wp14="http://schemas.microsoft.com/office/word/2010/wordml" w:rsidP="00FC8D19" wp14:paraId="49123908" wp14:textId="17732EE2">
      <w:pPr>
        <w:pStyle w:val="Title"/>
        <w:pBdr>
          <w:bottom w:val="single" w:color="4F81BD" w:sz="8" w:space="4"/>
        </w:pBdr>
        <w:bidi w:val="0"/>
        <w:spacing w:after="3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</w:pPr>
    </w:p>
    <w:p xmlns:wp14="http://schemas.microsoft.com/office/word/2010/wordml" w:rsidP="00FC8D19" wp14:paraId="7F1FEC10" wp14:textId="777F833F">
      <w:pPr>
        <w:pStyle w:val="Title"/>
        <w:pBdr>
          <w:bottom w:val="single" w:color="4F81BD" w:sz="8" w:space="4"/>
        </w:pBdr>
        <w:bidi w:val="0"/>
        <w:spacing w:after="3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</w:pPr>
    </w:p>
    <w:p xmlns:wp14="http://schemas.microsoft.com/office/word/2010/wordml" w:rsidP="00FC8D19" wp14:paraId="01FA8B85" wp14:textId="74206B01">
      <w:pPr>
        <w:pStyle w:val="Title"/>
        <w:pBdr>
          <w:bottom w:val="single" w:color="4F81BD" w:sz="8" w:space="4"/>
        </w:pBdr>
        <w:bidi w:val="0"/>
        <w:spacing w:after="3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</w:pPr>
      <w:r w:rsidRPr="00FC8D19" w:rsidR="6F4964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  <w:t xml:space="preserve">Appendix A – </w:t>
      </w:r>
      <w:r w:rsidRPr="00FC8D19" w:rsidR="6F4964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  <w:t>ToR</w:t>
      </w:r>
      <w:r w:rsidRPr="00FC8D19" w:rsidR="6F4964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  <w:t xml:space="preserve"> Template Tool</w:t>
      </w:r>
    </w:p>
    <w:p xmlns:wp14="http://schemas.microsoft.com/office/word/2010/wordml" w:rsidP="00FC8D19" wp14:paraId="7187DC6F" wp14:textId="4F6A1897">
      <w:pPr>
        <w:pStyle w:val="Heading1"/>
        <w:keepNext w:val="1"/>
        <w:keepLines w:val="1"/>
        <w:bidi w:val="0"/>
        <w:spacing w:before="480" w:after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1. Purpose</w:t>
      </w:r>
    </w:p>
    <w:p xmlns:wp14="http://schemas.microsoft.com/office/word/2010/wordml" w:rsidP="00FC8D19" wp14:paraId="139D1C70" wp14:textId="690321E8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Establish clear, interim decision-making and assurance arrangements for SDS preparation and delivery, including: (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) gateway approvals explicitly tied to evidence sign‑offs and statutory stages; (ii) rules for collaboration, data sharing, and joint commissioning; and (iii) proactive change control to manage LGR/devolution and evolving national guidance. The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ToR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must be reviewed at each gateway and whenever material statutory or structural changes occur.</w:t>
      </w:r>
    </w:p>
    <w:p xmlns:wp14="http://schemas.microsoft.com/office/word/2010/wordml" w:rsidP="00FC8D19" wp14:paraId="681C6A86" wp14:textId="14C4699C">
      <w:pPr>
        <w:pStyle w:val="Heading1"/>
        <w:keepNext w:val="1"/>
        <w:keepLines w:val="1"/>
        <w:bidi w:val="0"/>
        <w:spacing w:before="480" w:after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2. Scope</w:t>
      </w:r>
    </w:p>
    <w:p xmlns:wp14="http://schemas.microsoft.com/office/word/2010/wordml" w:rsidP="00FC8D19" wp14:paraId="01110D45" wp14:textId="1F3B5533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Covers: role assessment and SDS–Local Plan alignment; evidence/data management (audit, commissioning, assurance, publication); engagement and communications (members, partners, public); drafting and appraisal (including SA/SEA approach); inter‑agency coordination (NESO, NISTA, Homes England, Natural England, Environment Agency, National Highways); infrastructure pipeline alignment; and delivery planning (investment narrative, risk, and monitoring).</w:t>
      </w:r>
    </w:p>
    <w:p xmlns:wp14="http://schemas.microsoft.com/office/word/2010/wordml" w:rsidP="00FC8D19" wp14:paraId="55A6CC9A" wp14:textId="57D16EE2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0FC8D19" wp14:paraId="5E8F07A2" wp14:textId="6514C659">
      <w:pPr>
        <w:pStyle w:val="Heading1"/>
        <w:keepNext w:val="1"/>
        <w:keepLines w:val="1"/>
        <w:bidi w:val="0"/>
        <w:spacing w:before="480" w:after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3. Membership</w:t>
      </w:r>
    </w:p>
    <w:p xmlns:wp14="http://schemas.microsoft.com/office/word/2010/wordml" w:rsidP="00FC8D19" wp14:paraId="40110D28" wp14:textId="137DD170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- Chair (SPA Lead) – overall accountability for SDS governance.</w:t>
      </w:r>
    </w:p>
    <w:p xmlns:wp14="http://schemas.microsoft.com/office/word/2010/wordml" w:rsidP="00FC8D19" wp14:paraId="2D1B708C" wp14:textId="63FA6040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- Policy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Lead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– drafting and statutory compliance.</w:t>
      </w:r>
    </w:p>
    <w:p xmlns:wp14="http://schemas.microsoft.com/office/word/2010/wordml" w:rsidP="00FC8D19" wp14:paraId="7310FDE3" wp14:textId="76E48844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-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Programme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Manager – plan timetable, resources, risk, and change control.</w:t>
      </w:r>
    </w:p>
    <w:p xmlns:wp14="http://schemas.microsoft.com/office/word/2010/wordml" w:rsidP="00FC8D19" wp14:paraId="6B009EF7" wp14:textId="4684049C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- Evidence Product Lead – owns the evidence strategy and quality assurance.</w:t>
      </w:r>
    </w:p>
    <w:p xmlns:wp14="http://schemas.microsoft.com/office/word/2010/wordml" w:rsidP="00FC8D19" wp14:paraId="1883FE9B" wp14:textId="1454C817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- GIS/Data Lead – data standards, catalogue, maps, licensing, updates.</w:t>
      </w:r>
    </w:p>
    <w:p xmlns:wp14="http://schemas.microsoft.com/office/word/2010/wordml" w:rsidP="00FC8D19" wp14:paraId="68D201C2" wp14:textId="613B7589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- Engagement &amp; Comms Lead – narrative, member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programme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external comms.</w:t>
      </w:r>
    </w:p>
    <w:p xmlns:wp14="http://schemas.microsoft.com/office/word/2010/wordml" w:rsidP="00FC8D19" wp14:paraId="20E1AA69" wp14:textId="63B4F004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- Infrastructure &amp; Utilities Liaison – NESO/NISTA/utilities/HE/EA coordination.</w:t>
      </w:r>
    </w:p>
    <w:p xmlns:wp14="http://schemas.microsoft.com/office/word/2010/wordml" w:rsidP="00FC8D19" wp14:paraId="46F67565" wp14:textId="06A5C6A1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- Finance &amp; Investment Lead – funding strategy, delivery pipeline, assurance.</w:t>
      </w:r>
    </w:p>
    <w:p xmlns:wp14="http://schemas.microsoft.com/office/word/2010/wordml" w:rsidP="00FC8D19" wp14:paraId="02E664BA" wp14:textId="1F2564A2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- LPA Representatives – one per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constituent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LPA (officer level).</w:t>
      </w:r>
    </w:p>
    <w:p xmlns:wp14="http://schemas.microsoft.com/office/word/2010/wordml" w:rsidP="00FC8D19" wp14:paraId="7A79AB0A" wp14:textId="5A6D23E7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- Observers by invitation – e.g.,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neighbouring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SPAs, health partners, DCs.</w:t>
      </w:r>
    </w:p>
    <w:p xmlns:wp14="http://schemas.microsoft.com/office/word/2010/wordml" w:rsidP="00FC8D19" wp14:paraId="118F0F99" wp14:textId="678B1C8D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0FC8D19" wp14:paraId="021A88EB" wp14:textId="0DFE254F">
      <w:pPr>
        <w:pStyle w:val="Heading1"/>
        <w:keepNext w:val="1"/>
        <w:keepLines w:val="1"/>
        <w:bidi w:val="0"/>
        <w:spacing w:before="480" w:after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4. Quorum</w:t>
      </w:r>
    </w:p>
    <w:p xmlns:wp14="http://schemas.microsoft.com/office/word/2010/wordml" w:rsidP="00FC8D19" wp14:paraId="6522613A" wp14:textId="0670C1C3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Chair (or Deputy) plus three function leads (from Policy,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Programme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Evidence, Data, Engagement, Infrastructure, Finance) and one LPA representative. Where a meeting is inquorate, urgent decisions may be taken by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Chair’s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Action with written concurrence from two function leads, with ratification at the next meeting.</w:t>
      </w:r>
    </w:p>
    <w:p xmlns:wp14="http://schemas.microsoft.com/office/word/2010/wordml" w:rsidP="00FC8D19" wp14:paraId="559243B0" wp14:textId="68B4B1EE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0FC8D19" wp14:paraId="726836D4" wp14:textId="2846C5C3">
      <w:pPr>
        <w:pStyle w:val="Heading1"/>
        <w:keepNext w:val="1"/>
        <w:keepLines w:val="1"/>
        <w:bidi w:val="0"/>
        <w:spacing w:before="480" w:after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5. Decision Gateways (Minimum Viable)</w:t>
      </w:r>
    </w:p>
    <w:p xmlns:wp14="http://schemas.microsoft.com/office/word/2010/wordml" w:rsidP="00FC8D19" wp14:paraId="3210181C" wp14:textId="1F8B0263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0FC8D19" wp14:paraId="6D56CBAF" wp14:textId="07C56E4B">
      <w:pPr>
        <w:pStyle w:val="ListParagraph"/>
        <w:numPr>
          <w:ilvl w:val="0"/>
          <w:numId w:val="14"/>
        </w:num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G0 – Initiation: Approve Role Assessment scope, stakeholder map, draft SDS narrative, and interim governance. Artefacts: Role Assessment note; stakeholder register; risk register v0.1; comms outline.</w:t>
      </w:r>
    </w:p>
    <w:p xmlns:wp14="http://schemas.microsoft.com/office/word/2010/wordml" w:rsidP="00FC8D19" wp14:paraId="7780C113" wp14:textId="33D6270E">
      <w:pPr>
        <w:pStyle w:val="ListParagraph"/>
        <w:numPr>
          <w:ilvl w:val="0"/>
          <w:numId w:val="14"/>
        </w:num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G1 – Evidence &amp; Early Vision: Approve evidence/data audit, early priorities, one‑vision statement and success outcomes, initial SA/SEA approach. Artefacts: evidence audit; data catalogue; vision outcomes; SA/SEA plan.</w:t>
      </w:r>
    </w:p>
    <w:p xmlns:wp14="http://schemas.microsoft.com/office/word/2010/wordml" w:rsidP="00FC8D19" wp14:paraId="3F81CBE4" wp14:textId="777269DE">
      <w:pPr>
        <w:pStyle w:val="ListParagraph"/>
        <w:numPr>
          <w:ilvl w:val="0"/>
          <w:numId w:val="14"/>
        </w:num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G2 – Drafting: Approve SDS structure/contents; joint commissioning plan; engagement plan (members/public); inter‑agency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MoUs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/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SoCG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scope. Artefacts: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contents plan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;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commissioning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pipeline; engagement plan; MoU/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SoCG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register.</w:t>
      </w:r>
    </w:p>
    <w:p xmlns:wp14="http://schemas.microsoft.com/office/word/2010/wordml" w:rsidP="00FC8D19" wp14:paraId="6DB58BD5" wp14:textId="1934E006">
      <w:pPr>
        <w:pStyle w:val="ListParagraph"/>
        <w:numPr>
          <w:ilvl w:val="0"/>
          <w:numId w:val="14"/>
        </w:num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G3 – Pre‑submission: Approve consultation draft; communications plan; delivery/investment narrative; risk/mitigation update; data publication checklist. Artefacts: consultation draft; delivery framework outline; risk log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vX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; publication checklist.</w:t>
      </w:r>
    </w:p>
    <w:p xmlns:wp14="http://schemas.microsoft.com/office/word/2010/wordml" w:rsidP="00FC8D19" wp14:paraId="6BA23C55" wp14:textId="6F3DB88F">
      <w:pPr>
        <w:pStyle w:val="ListParagraph"/>
        <w:numPr>
          <w:ilvl w:val="0"/>
          <w:numId w:val="14"/>
        </w:num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G4 – Submission: Approve final draft; evidence sign‑off certificates; statement of consultation; delivery framework (v1); readiness for examination. Artefacts: sign‑off pack; statement of consultation; delivery framework v1.</w:t>
      </w:r>
    </w:p>
    <w:p xmlns:wp14="http://schemas.microsoft.com/office/word/2010/wordml" w:rsidP="00FC8D19" wp14:paraId="30BA7AA2" wp14:textId="273F3408">
      <w:pPr>
        <w:pStyle w:val="Heading1"/>
        <w:keepNext w:val="1"/>
        <w:keepLines w:val="1"/>
        <w:bidi w:val="0"/>
        <w:spacing w:before="480" w:after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6. Papers &amp; Sign-off</w:t>
      </w:r>
    </w:p>
    <w:p xmlns:wp14="http://schemas.microsoft.com/office/word/2010/wordml" w:rsidP="00FC8D19" wp14:paraId="0E28A04D" wp14:textId="28F4E406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Papers circulated ≥5 working days in advance; late papers by exception only.</w:t>
      </w:r>
    </w:p>
    <w:p xmlns:wp14="http://schemas.microsoft.com/office/word/2010/wordml" w:rsidP="00FC8D19" wp14:paraId="4F9DDE96" wp14:textId="33DD94C1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Use standard cover sheet (purpose, decision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requested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links to vision/outcomes, legal/digital/data implications, risks, finance, engagement).</w:t>
      </w:r>
    </w:p>
    <w:p xmlns:wp14="http://schemas.microsoft.com/office/word/2010/wordml" w:rsidP="00FC8D19" wp14:paraId="2C65FEF3" wp14:textId="220E1F93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Decisions recorded with action, owner, due date; publish decision log within 2 working days.</w:t>
      </w:r>
    </w:p>
    <w:p xmlns:wp14="http://schemas.microsoft.com/office/word/2010/wordml" w:rsidP="00FC8D19" wp14:paraId="2DB36DF2" wp14:textId="3A154761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Evidence sign‑off requires Evidence Lead + GIS/Data Lead concurrence on provenance, licensing, and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publication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readiness.</w:t>
      </w:r>
    </w:p>
    <w:p xmlns:wp14="http://schemas.microsoft.com/office/word/2010/wordml" w:rsidP="00FC8D19" wp14:paraId="7CB78747" wp14:textId="0ECF7DCF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0FC8D19" wp14:paraId="4D6B70E9" wp14:textId="759D7908">
      <w:pPr>
        <w:pStyle w:val="Heading1"/>
        <w:keepNext w:val="1"/>
        <w:keepLines w:val="1"/>
        <w:bidi w:val="0"/>
        <w:spacing w:before="480" w:after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7. Escalation &amp; Changes</w:t>
      </w:r>
    </w:p>
    <w:p xmlns:wp14="http://schemas.microsoft.com/office/word/2010/wordml" w:rsidP="00FC8D19" wp14:paraId="323D961D" wp14:textId="34C8A2CD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Policy/technical disputes: escalate to Chair; if unresolved within 10 working days, escalate to Leaders’ Group / Board with a short options note.</w:t>
      </w:r>
    </w:p>
    <w:p xmlns:wp14="http://schemas.microsoft.com/office/word/2010/wordml" w:rsidP="00FC8D19" wp14:paraId="60D763DC" wp14:textId="42B50D36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Structural changes (e.g., LGR, devolution) trigger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ToR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plan re‑baseline at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next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gateway, with resourcing implications set out.</w:t>
      </w:r>
    </w:p>
    <w:p xmlns:wp14="http://schemas.microsoft.com/office/word/2010/wordml" w:rsidP="00FC8D19" wp14:paraId="4448109C" wp14:textId="54E3C519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Change requests logged and triaged monthly by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Programme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Manager; material changes require gateway approval.</w:t>
      </w:r>
    </w:p>
    <w:p xmlns:wp14="http://schemas.microsoft.com/office/word/2010/wordml" w:rsidP="00FC8D19" wp14:paraId="56C9FE07" wp14:textId="42476B62">
      <w:pPr>
        <w:pStyle w:val="Heading1"/>
        <w:keepNext w:val="1"/>
        <w:keepLines w:val="1"/>
        <w:bidi w:val="0"/>
        <w:spacing w:before="480" w:after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8. Collaboration Protocols</w:t>
      </w:r>
    </w:p>
    <w:p xmlns:wp14="http://schemas.microsoft.com/office/word/2010/wordml" w:rsidP="00FC8D19" wp14:paraId="2F9BB530" wp14:textId="66F4EAC0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Use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MoUs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/Statements of Common Ground, shared procurement protocols, and simple data sharing/licensing agreements (including OS/PSGA terms) to enable joint evidence, map layers, and publication. Maintain a public register of these instruments. </w:t>
      </w:r>
    </w:p>
    <w:p xmlns:wp14="http://schemas.microsoft.com/office/word/2010/wordml" w:rsidP="00FC8D19" wp14:paraId="7BBAF9BE" wp14:textId="26803B2B">
      <w:pPr>
        <w:pStyle w:val="Heading1"/>
        <w:keepNext w:val="1"/>
        <w:keepLines w:val="1"/>
        <w:bidi w:val="0"/>
        <w:spacing w:before="480" w:after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9. Review</w:t>
      </w:r>
    </w:p>
    <w:p xmlns:wp14="http://schemas.microsoft.com/office/word/2010/wordml" w:rsidP="00FC8D19" wp14:paraId="37F8D22B" wp14:textId="3B93C6A3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Quarterly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ToR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review and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at each gateway. Publish a short update note after each review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summarising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changes, rationale, and impacts (timeline, risks, resources).</w:t>
      </w:r>
    </w:p>
    <w:p xmlns:wp14="http://schemas.microsoft.com/office/word/2010/wordml" w:rsidP="00FC8D19" wp14:paraId="5760F1BB" wp14:textId="765E18F6">
      <w:pPr>
        <w:pStyle w:val="Heading1"/>
        <w:keepNext w:val="1"/>
        <w:keepLines w:val="1"/>
        <w:bidi w:val="0"/>
        <w:spacing w:before="480" w:after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10. Digital &amp; Data Governance</w:t>
      </w:r>
    </w:p>
    <w:p xmlns:wp14="http://schemas.microsoft.com/office/word/2010/wordml" w:rsidP="00FC8D19" wp14:paraId="256D93EC" wp14:textId="6067CAB9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Name roles: Evidence Product Lead; GIS/Data Engineer; Dataset Stewards; Licensing Lead (part‑time).</w:t>
      </w:r>
    </w:p>
    <w:p xmlns:wp14="http://schemas.microsoft.com/office/word/2010/wordml" w:rsidP="00FC8D19" wp14:paraId="0C39347D" wp14:textId="5BAEE6FC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Keep a machine‑readable data catalogue (owner, source,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licence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last updated, caveats); refresh quarterly.</w:t>
      </w:r>
    </w:p>
    <w:p xmlns:wp14="http://schemas.microsoft.com/office/word/2010/wordml" w:rsidP="00FC8D19" wp14:paraId="1287DF35" wp14:textId="175AF5F2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Default to web‑first publication; align with national tools (Planning Data Platform,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DfT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Connectivity Tool, NISTA) rather than replicating locally.</w:t>
      </w:r>
    </w:p>
    <w:p xmlns:wp14="http://schemas.microsoft.com/office/word/2010/wordml" w:rsidP="00FC8D19" wp14:paraId="4022871D" wp14:textId="3EE3418F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Publish a quarterly “evidence/data update” note and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maintain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 open licensing register.</w:t>
      </w:r>
    </w:p>
    <w:p xmlns:wp14="http://schemas.microsoft.com/office/word/2010/wordml" w:rsidP="00FC8D19" wp14:paraId="2C623EFA" wp14:textId="7F7E48D5">
      <w:pPr>
        <w:pStyle w:val="Heading1"/>
        <w:keepNext w:val="1"/>
        <w:keepLines w:val="1"/>
        <w:bidi w:val="0"/>
        <w:spacing w:before="480" w:after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11. Inter‑Agency &amp; Infrastructure Coordination</w:t>
      </w:r>
    </w:p>
    <w:p xmlns:wp14="http://schemas.microsoft.com/office/word/2010/wordml" w:rsidP="00FC8D19" wp14:paraId="2F216565" wp14:textId="68123FBC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Establish an Infrastructure &amp; Utilities Liaison process/function to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synchronise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SDS evidence with NESO,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NISTA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utility planning cycles.</w:t>
      </w:r>
    </w:p>
    <w:p xmlns:wp14="http://schemas.microsoft.com/office/word/2010/wordml" w:rsidP="00FC8D19" wp14:paraId="05B00F76" wp14:textId="7C5199C8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Maintain an infrastructure pipeline register (local/strategic/national) including cross‑boundary schemes; review at G1, G2 and G3.</w:t>
      </w:r>
    </w:p>
    <w:p xmlns:wp14="http://schemas.microsoft.com/office/word/2010/wordml" w:rsidP="00FC8D19" wp14:paraId="1885CB36" wp14:textId="73C27B73">
      <w:pPr>
        <w:pStyle w:val="Heading1"/>
        <w:keepNext w:val="1"/>
        <w:keepLines w:val="1"/>
        <w:bidi w:val="0"/>
        <w:spacing w:before="480" w:after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12. Communications &amp; Member Engagement</w:t>
      </w:r>
    </w:p>
    <w:p xmlns:wp14="http://schemas.microsoft.com/office/word/2010/wordml" w:rsidP="00FC8D19" wp14:paraId="16615D6B" wp14:textId="29A06C70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Maintain an SDS narrative in plain English, a member engagement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programme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and a public-facing glossary.</w:t>
      </w:r>
    </w:p>
    <w:p xmlns:wp14="http://schemas.microsoft.com/office/word/2010/wordml" w:rsidP="00FC8D19" wp14:paraId="5986491C" wp14:textId="3CB384DA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All papers use plain English;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minimise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acronyms; supply visual summaries, video media where possible.</w:t>
      </w:r>
    </w:p>
    <w:p xmlns:wp14="http://schemas.microsoft.com/office/word/2010/wordml" w:rsidP="00FC8D19" wp14:paraId="4FA62304" wp14:textId="58E6498E">
      <w:pPr>
        <w:pStyle w:val="Heading1"/>
        <w:keepNext w:val="1"/>
        <w:keepLines w:val="1"/>
        <w:bidi w:val="0"/>
        <w:spacing w:before="480" w:after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13. Risk &amp; Assurance</w:t>
      </w:r>
    </w:p>
    <w:p xmlns:wp14="http://schemas.microsoft.com/office/word/2010/wordml" w:rsidP="00FC8D19" wp14:paraId="73E54D83" wp14:textId="0AAEA747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Maintain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 live risk register covering legislative uncertainty, LGR/devolution,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evidence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quality, resourcing, timelines, and legal risk.</w:t>
      </w:r>
    </w:p>
    <w:p xmlns:wp14="http://schemas.microsoft.com/office/word/2010/wordml" w:rsidP="00FC8D19" wp14:paraId="74BB2B55" wp14:textId="7B8E9660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Assign risk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owners;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review monthly; escalate red risks to Leaders’ Group.</w:t>
      </w:r>
    </w:p>
    <w:p xmlns:wp14="http://schemas.microsoft.com/office/word/2010/wordml" w:rsidP="00FC8D19" wp14:paraId="566117D5" wp14:textId="507AF4F7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Maintain an assurance map (who checks what, when) for legal, data, SEA/SA, finance, and equality impacts.</w:t>
      </w:r>
    </w:p>
    <w:p xmlns:wp14="http://schemas.microsoft.com/office/word/2010/wordml" w:rsidP="00FC8D19" wp14:paraId="51217E6D" wp14:textId="1898E913">
      <w:pPr>
        <w:bidi w:val="0"/>
        <w:spacing w:before="0" w:beforeAutospacing="off" w:after="0" w:afterAutospacing="off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0FC8D19" wp14:paraId="22E9A6E1" wp14:textId="4B0DE1B5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0FC8D19" wp14:paraId="6B27E4E2" wp14:textId="65D0FEBD">
      <w:pPr>
        <w:pStyle w:val="Title"/>
        <w:pBdr>
          <w:bottom w:val="single" w:color="4F81BD" w:sz="8" w:space="4"/>
        </w:pBdr>
        <w:bidi w:val="0"/>
        <w:spacing w:after="30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</w:pPr>
      <w:r w:rsidRPr="00FC8D19" w:rsidR="6F4964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52"/>
          <w:szCs w:val="52"/>
          <w:lang w:val="en-US"/>
        </w:rPr>
        <w:t>Optional Protocols (for consideration)</w:t>
      </w:r>
    </w:p>
    <w:p xmlns:wp14="http://schemas.microsoft.com/office/word/2010/wordml" w:rsidP="00FC8D19" wp14:paraId="21D31F1C" wp14:textId="21521882">
      <w:pPr>
        <w:pStyle w:val="Heading1"/>
        <w:keepNext w:val="1"/>
        <w:keepLines w:val="1"/>
        <w:bidi w:val="0"/>
        <w:spacing w:before="480" w:after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14. Procurement &amp; Commissioning Protocols</w:t>
      </w:r>
    </w:p>
    <w:p xmlns:wp14="http://schemas.microsoft.com/office/word/2010/wordml" w:rsidP="00FC8D19" wp14:paraId="1BA67BEB" wp14:textId="77364174">
      <w:pPr>
        <w:pStyle w:val="ListParagraph"/>
        <w:numPr>
          <w:ilvl w:val="0"/>
          <w:numId w:val="21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Commission only evidence that answers strategic questions; avoid duplication with Local Plans.</w:t>
      </w:r>
    </w:p>
    <w:p xmlns:wp14="http://schemas.microsoft.com/office/word/2010/wordml" w:rsidP="00FC8D19" wp14:paraId="66D16E00" wp14:textId="1ABA0BA3">
      <w:pPr>
        <w:pStyle w:val="ListParagraph"/>
        <w:numPr>
          <w:ilvl w:val="0"/>
          <w:numId w:val="21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Use shared procurement where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feasible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; embed knowledge transfer into all contracts.</w:t>
      </w:r>
    </w:p>
    <w:p xmlns:wp14="http://schemas.microsoft.com/office/word/2010/wordml" w:rsidP="00FC8D19" wp14:paraId="09C989BB" wp14:textId="19DB0D06">
      <w:pPr>
        <w:pStyle w:val="ListParagraph"/>
        <w:numPr>
          <w:ilvl w:val="0"/>
          <w:numId w:val="21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Maintain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an evidence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commissioning tracker with dependencies and publication plans.</w:t>
      </w:r>
    </w:p>
    <w:p xmlns:wp14="http://schemas.microsoft.com/office/word/2010/wordml" w:rsidP="00FC8D19" wp14:paraId="784F5484" wp14:textId="56B6F8B6">
      <w:pPr>
        <w:pStyle w:val="Heading1"/>
        <w:keepNext w:val="1"/>
        <w:keepLines w:val="1"/>
        <w:bidi w:val="0"/>
        <w:spacing w:before="480" w:after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15. Equality, Health &amp; SA/SEA Oversight</w:t>
      </w:r>
    </w:p>
    <w:p xmlns:wp14="http://schemas.microsoft.com/office/word/2010/wordml" w:rsidP="00FC8D19" wp14:paraId="59374A88" wp14:textId="57BD3BE0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Nominate a Health &amp; Equality Champion to ensure legal duties and the SDS “health outcomes” thread run through evidence, engagement, and drafting.</w:t>
      </w:r>
    </w:p>
    <w:p xmlns:wp14="http://schemas.microsoft.com/office/word/2010/wordml" w:rsidP="00FC8D19" wp14:paraId="527BCD65" wp14:textId="6F665E80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Confirm SA/SEA management approach by G1; ensure early integration with vision and scenario testing.</w:t>
      </w:r>
    </w:p>
    <w:p xmlns:wp14="http://schemas.microsoft.com/office/word/2010/wordml" w:rsidP="00FC8D19" wp14:paraId="216F47BC" wp14:textId="5E88C3B2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0FC8D19" wp14:paraId="4E8E184D" wp14:textId="67D483E3">
      <w:pPr>
        <w:pStyle w:val="Heading1"/>
        <w:keepNext w:val="1"/>
        <w:keepLines w:val="1"/>
        <w:bidi w:val="0"/>
        <w:spacing w:before="480" w:after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16. Decision Rights &amp; Delegations</w:t>
      </w:r>
    </w:p>
    <w:p xmlns:wp14="http://schemas.microsoft.com/office/word/2010/wordml" w:rsidP="00FC8D19" wp14:paraId="75B6EF27" wp14:textId="2EC4F992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Board decisions: gateway approvals; publication of consultation drafts; commissioning over £X; changes to scope/timetable; acceptance of inter‑authority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MoUs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/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SoCG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</w:t>
      </w:r>
    </w:p>
    <w:p xmlns:wp14="http://schemas.microsoft.com/office/word/2010/wordml" w:rsidP="00FC8D19" wp14:paraId="302C5327" wp14:textId="5FBDFF75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Chair’s delegated authority: urgent decisions between meetings (with two function lead concurrences).</w:t>
      </w:r>
    </w:p>
    <w:p xmlns:wp14="http://schemas.microsoft.com/office/word/2010/wordml" w:rsidP="00FC8D19" wp14:paraId="70115808" wp14:textId="3192498C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Officer‑level delegations: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programme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replans within ±10% schedule variance; minor budget virements up to £Y.</w:t>
      </w:r>
    </w:p>
    <w:p xmlns:wp14="http://schemas.microsoft.com/office/word/2010/wordml" w:rsidP="00FC8D19" wp14:paraId="13163161" wp14:textId="45CD446B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0FC8D19" wp14:paraId="2E63DCC3" wp14:textId="415354DD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0FC8D19" wp14:paraId="11653E05" wp14:textId="06C840B6">
      <w:pPr>
        <w:pStyle w:val="Heading1"/>
        <w:keepNext w:val="1"/>
        <w:keepLines w:val="1"/>
        <w:bidi w:val="0"/>
        <w:spacing w:before="480" w:after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17. Conflicts of Interest &amp; Transparency</w:t>
      </w:r>
    </w:p>
    <w:p xmlns:wp14="http://schemas.microsoft.com/office/word/2010/wordml" w:rsidP="00FC8D19" wp14:paraId="3A5F2AC7" wp14:textId="289E7075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Maintain a register of interests; declare at each meeting; conflicted members absent for the relevant item.</w:t>
      </w:r>
    </w:p>
    <w:p xmlns:wp14="http://schemas.microsoft.com/office/word/2010/wordml" w:rsidP="00FC8D19" wp14:paraId="73E0792C" wp14:textId="40C78008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Publish decision logs, 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ToR</w:t>
      </w:r>
      <w:r w:rsidRPr="00FC8D19" w:rsidR="6F4964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collaboration instruments, and quarterly evidence/data updates on the SPA website.</w:t>
      </w:r>
    </w:p>
    <w:p xmlns:wp14="http://schemas.microsoft.com/office/word/2010/wordml" w:rsidP="00FC8D19" wp14:paraId="2E06A101" wp14:textId="400DDE6A">
      <w:pPr>
        <w:bidi w:val="0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0FC8D19" wp14:paraId="2C078E63" wp14:textId="622EC347">
      <w:pPr>
        <w:rPr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GU" w:author="Guest User" w:date="2026-02-10T14:13:15" w:id="1234007887">
    <w:p xmlns:w14="http://schemas.microsoft.com/office/word/2010/wordml" xmlns:w="http://schemas.openxmlformats.org/wordprocessingml/2006/main" w:rsidR="2D7B274C" w:rsidRDefault="3F9B0211" w14:paraId="415C3BE9" w14:textId="189168FD">
      <w:pPr>
        <w:pStyle w:val="CommentText"/>
      </w:pPr>
      <w:r>
        <w:rPr>
          <w:rStyle w:val="CommentReference"/>
        </w:rPr>
        <w:annotationRef/>
      </w:r>
      <w:r w:rsidRPr="479F9E02" w:rsidR="6FC54B0D">
        <w:t>I think we need to be really clear whether this is for members or officers. From membership it looks like officers - so less about governance/decision-making - more about a PM Team. Is it me misunderstanding?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15C3BE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677A422" w16cex:dateUtc="2026-02-10T14:13:15.52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15C3BE9" w16cid:durableId="7677A42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4">
    <w:nsid w:val="20fc21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d5186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b03ff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fcf50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3f2f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fd7b3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ab63b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374ad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2db2d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9dfb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b9d66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ed15f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90319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94e03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ce44f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15b68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adae1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c8828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725f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e8b9d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c411f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18af6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ce2c2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607e9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uest User">
    <w15:presenceInfo w15:providerId="AD" w15:userId="S::urn:spo:tenantanon#47293875-ad9b-4ea6-878b-141779964bf9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734ED4"/>
    <w:rsid w:val="00FC8D19"/>
    <w:rsid w:val="04864E91"/>
    <w:rsid w:val="0B1E007B"/>
    <w:rsid w:val="11F76E81"/>
    <w:rsid w:val="1837E37A"/>
    <w:rsid w:val="1AB57FA0"/>
    <w:rsid w:val="1D52C14A"/>
    <w:rsid w:val="22734ED4"/>
    <w:rsid w:val="23DB93FF"/>
    <w:rsid w:val="2DFC1857"/>
    <w:rsid w:val="36590D41"/>
    <w:rsid w:val="36F1674A"/>
    <w:rsid w:val="40C01A25"/>
    <w:rsid w:val="46BEDC37"/>
    <w:rsid w:val="4BF0ED84"/>
    <w:rsid w:val="4DEFD22F"/>
    <w:rsid w:val="5C4ABF9B"/>
    <w:rsid w:val="5D7B655A"/>
    <w:rsid w:val="60840597"/>
    <w:rsid w:val="655B6834"/>
    <w:rsid w:val="6D8317B4"/>
    <w:rsid w:val="6F496473"/>
    <w:rsid w:val="71D4B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4ED4"/>
  <w15:chartTrackingRefBased/>
  <w15:docId w15:val="{034FA8A5-8089-4B12-9714-26B12E680B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aed3a2e64dcb4c62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142b95b38dca4792" /><Relationship Type="http://schemas.microsoft.com/office/2016/09/relationships/commentsIds" Target="commentsIds.xml" Id="R582de8df013b4021" /><Relationship Type="http://schemas.microsoft.com/office/2011/relationships/commentsExtended" Target="commentsExtended.xml" Id="R0ca5170f613445e1" /><Relationship Type="http://schemas.microsoft.com/office/2018/08/relationships/commentsExtensible" Target="commentsExtensible.xml" Id="R54d8937959584ed6" /><Relationship Type="http://schemas.microsoft.com/office/2011/relationships/people" Target="people.xml" Id="Re5cf8779f56b42c8" /><Relationship Type="http://schemas.openxmlformats.org/officeDocument/2006/relationships/hyperlink" Target="https://olivebranchconsulting900.sharepoint.com/sites/PASSDSReadiness/_layouts/15/Doc.aspx?sourcedoc=%7BA2B9EBBF-3192-46E9-98C1-7AB1CE5C3EC4%7D&amp;file=SDS%20Readiness%20Draft_V1%20Draft%20Final.docx&amp;action=default&amp;mobileredirect=true" TargetMode="External" Id="R3591e8f756e2476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774A0D0F4CC4D8CB290BEE6FD2D88" ma:contentTypeVersion="17" ma:contentTypeDescription="Create a new document." ma:contentTypeScope="" ma:versionID="ebc488b8bcd0aa6a36d66abe32969935">
  <xsd:schema xmlns:xsd="http://www.w3.org/2001/XMLSchema" xmlns:xs="http://www.w3.org/2001/XMLSchema" xmlns:p="http://schemas.microsoft.com/office/2006/metadata/properties" xmlns:ns2="570d8842-31e2-4da1-881d-2e6e713e7649" xmlns:ns3="4c0fc6d1-1ff6-4501-9111-f8704c4ff172" targetNamespace="http://schemas.microsoft.com/office/2006/metadata/properties" ma:root="true" ma:fieldsID="3a721cdb89b4c117d3a7778856f04bd6" ns2:_="" ns3:_="">
    <xsd:import namespace="570d8842-31e2-4da1-881d-2e6e713e7649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8842-31e2-4da1-881d-2e6e713e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60c269-c4b6-4590-a052-61368eabc0e5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0d8842-31e2-4da1-881d-2e6e713e7649">
      <Terms xmlns="http://schemas.microsoft.com/office/infopath/2007/PartnerControls"/>
    </lcf76f155ced4ddcb4097134ff3c332f>
    <TaxCatchAll xmlns="4c0fc6d1-1ff6-4501-9111-f8704c4ff172" xsi:nil="true"/>
  </documentManagement>
</p:properties>
</file>

<file path=customXml/itemProps1.xml><?xml version="1.0" encoding="utf-8"?>
<ds:datastoreItem xmlns:ds="http://schemas.openxmlformats.org/officeDocument/2006/customXml" ds:itemID="{EF4C097B-860F-4736-AE45-9A045EFCDB60}"/>
</file>

<file path=customXml/itemProps2.xml><?xml version="1.0" encoding="utf-8"?>
<ds:datastoreItem xmlns:ds="http://schemas.openxmlformats.org/officeDocument/2006/customXml" ds:itemID="{0F3AF1B1-E08F-457F-A3AF-7D1DC9FAF0A6}"/>
</file>

<file path=customXml/itemProps3.xml><?xml version="1.0" encoding="utf-8"?>
<ds:datastoreItem xmlns:ds="http://schemas.openxmlformats.org/officeDocument/2006/customXml" ds:itemID="{6B90B414-A65B-4E1C-8C61-E799A054F3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Frainer</dc:creator>
  <cp:keywords/>
  <dc:description/>
  <cp:lastModifiedBy>Liz Hobden</cp:lastModifiedBy>
  <dcterms:created xsi:type="dcterms:W3CDTF">2026-02-05T17:26:57Z</dcterms:created>
  <dcterms:modified xsi:type="dcterms:W3CDTF">2026-02-23T15:55:24Z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0x010100E00774A0D0F4CC4D8CB290BEE6FD2D88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