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07C86F07" w14:paraId="2CC0669D" wp14:textId="2F74C5E2">
      <w:pPr>
        <w:pStyle w:val="Title"/>
        <w:rPr>
          <w:rFonts w:ascii="Arial" w:hAnsi="Arial" w:eastAsia="Arial" w:cs="Arial"/>
        </w:rPr>
      </w:pPr>
      <w:r w:rsidRPr="07C86F07" w:rsidR="2DFB7FF6">
        <w:rPr>
          <w:rFonts w:ascii="Arial" w:hAnsi="Arial" w:eastAsia="Arial" w:cs="Arial"/>
        </w:rPr>
        <w:t xml:space="preserve">3.5 SDS Engagement Pack </w:t>
      </w:r>
    </w:p>
    <w:p w:rsidR="3B0D30F0" w:rsidP="07C86F07" w:rsidRDefault="3B0D30F0" w14:paraId="7DBD1BF0" w14:textId="4C557E90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464FEB"/>
          <w:sz w:val="22"/>
          <w:szCs w:val="22"/>
          <w:u w:val="none"/>
          <w:lang w:val="en-US"/>
        </w:rPr>
      </w:pP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This framework helps you engage communities and the public in </w:t>
      </w: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US"/>
        </w:rPr>
        <w:t>plain English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using the </w:t>
      </w: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US"/>
        </w:rPr>
        <w:t>right tone and channels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for different audiences, with a clear focus on inclusion, 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>innovation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and trust. It supports a </w:t>
      </w: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US"/>
        </w:rPr>
        <w:t>web‑first, accessible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approach, keeps the message that SDS is </w:t>
      </w: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US"/>
        </w:rPr>
        <w:t>strategic screening (not site‑level decisions)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and embeds a simple </w:t>
      </w: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US"/>
        </w:rPr>
        <w:t xml:space="preserve">“we </w:t>
      </w: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US"/>
        </w:rPr>
        <w:t>heard → we changed</w:t>
      </w: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US"/>
        </w:rPr>
        <w:t>”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feedback loop to show impact. </w:t>
      </w:r>
    </w:p>
    <w:p w:rsidR="07C86F07" w:rsidP="07C86F07" w:rsidRDefault="07C86F07" w14:paraId="294ACCC3" w14:textId="426A0662">
      <w:pPr>
        <w:spacing w:before="0" w:beforeAutospacing="off" w:after="0" w:afterAutospacing="off" w:line="300" w:lineRule="auto"/>
        <w:rPr>
          <w:rFonts w:ascii="Arial" w:hAnsi="Arial" w:eastAsia="Arial" w:cs="Arial"/>
        </w:rPr>
      </w:pPr>
    </w:p>
    <w:p w:rsidR="3B0D30F0" w:rsidP="07C86F07" w:rsidRDefault="3B0D30F0" w14:paraId="57D1C373" w14:textId="7A317832">
      <w:pPr>
        <w:pStyle w:val="Heading1"/>
        <w:rPr>
          <w:rFonts w:ascii="Arial" w:hAnsi="Arial" w:eastAsia="Arial" w:cs="Arial"/>
          <w:b w:val="0"/>
          <w:bCs w:val="0"/>
          <w:noProof w:val="0"/>
          <w:lang w:val="en-US"/>
        </w:rPr>
      </w:pPr>
      <w:r w:rsidRPr="07C86F07" w:rsidR="3B0D30F0">
        <w:rPr>
          <w:rFonts w:ascii="Arial" w:hAnsi="Arial" w:eastAsia="Arial" w:cs="Arial"/>
          <w:b w:val="0"/>
          <w:bCs w:val="0"/>
          <w:noProof w:val="0"/>
          <w:lang w:val="en-US"/>
        </w:rPr>
        <w:t>1) Core principles (use these as your North Star)</w:t>
      </w:r>
    </w:p>
    <w:p w:rsidR="3B0D30F0" w:rsidP="07C86F07" w:rsidRDefault="3B0D30F0" w14:paraId="53307E11" w14:textId="13BBA00F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Plain English first.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Short sentences, everyday words, one idea per paragraph; explain acronyms; always provide an easy‑read route. </w:t>
      </w:r>
    </w:p>
    <w:p w:rsidR="3B0D30F0" w:rsidP="07C86F07" w:rsidRDefault="3B0D30F0" w14:paraId="0C5D0491" w14:textId="33566F4F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Accessible by default.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Design web‑first content to </w:t>
      </w: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WCAG 2.2 AA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and offer alternatives (large print, captions/BSL, translation, step‑free venues, childcare/time‑of‑day options). </w:t>
      </w:r>
    </w:p>
    <w:p w:rsidR="3B0D30F0" w:rsidP="4E01B10B" w:rsidRDefault="3B0D30F0" w14:paraId="2AF95CFF" w14:textId="02D21472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E01B10B" w:rsidR="4E01B10B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Meet people where they are.</w:t>
      </w:r>
      <w:r w:rsidRPr="4E01B10B" w:rsidR="4E01B10B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Blend channels on line, in‑person, and mobile “map moments” and partner with </w:t>
      </w:r>
      <w:r w:rsidRPr="4E01B10B" w:rsidR="4E01B10B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trusted intermediaries</w:t>
      </w:r>
      <w:r w:rsidRPr="4E01B10B" w:rsidR="4E01B10B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to reach seldom‑heard groups. </w:t>
      </w:r>
    </w:p>
    <w:p w:rsidR="3B0D30F0" w:rsidP="07C86F07" w:rsidRDefault="3B0D30F0" w14:paraId="05AD4722" w14:textId="7FEF8963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Balance</w:t>
      </w: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 xml:space="preserve"> voice and influence.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Make space for seldom‑heard groups </w:t>
      </w: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and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for well‑resourced/activist voices</w:t>
      </w:r>
      <w:r w:rsidRPr="07C86F07" w:rsidR="55B809E3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use clear 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facilitation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so no 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single group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dominates.</w:t>
      </w:r>
    </w:p>
    <w:p w:rsidR="3B0D30F0" w:rsidP="4E01B10B" w:rsidRDefault="3B0D30F0" w14:paraId="55C048EA" w14:textId="0A4B5D13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4E01B10B" w:rsidR="4E01B10B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Tie engagement to decisions.</w:t>
      </w:r>
      <w:r w:rsidRPr="4E01B10B" w:rsidR="4E01B10B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Every activity should serve a real choice or </w:t>
      </w:r>
      <w:r w:rsidRPr="4E01B10B" w:rsidR="4E01B10B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gateway (G0–G4)</w:t>
      </w:r>
      <w:r w:rsidRPr="4E01B10B" w:rsidR="4E01B10B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4E01B10B" w:rsidR="4E01B10B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decision avoid</w:t>
      </w:r>
      <w:r w:rsidRPr="4E01B10B" w:rsidR="4E01B10B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consultation fatigue.</w:t>
      </w:r>
    </w:p>
    <w:p w:rsidR="3B0D30F0" w:rsidP="07C86F07" w:rsidRDefault="3B0D30F0" w14:paraId="697F4078" w14:textId="0DC04763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Close the loop.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Publish </w:t>
      </w: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what we heard and what we changed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quickly after each activity (e.g., within 10 working days). </w:t>
      </w:r>
    </w:p>
    <w:p w:rsidR="3B0D30F0" w:rsidP="07C86F07" w:rsidRDefault="3B0D30F0" w14:paraId="321A8E0A" w14:textId="5EAB3CE5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Be clear about SDS.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Always restate: SDS sets the </w:t>
      </w: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strategic framework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; Local Plans decide sites.</w:t>
      </w:r>
    </w:p>
    <w:p w:rsidR="3B0D30F0" w:rsidP="07C86F07" w:rsidRDefault="3B0D30F0" w14:paraId="43EE29E6" w14:textId="6EB1EBF0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Use visuals and stories.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Short explainers (60–90s), simple diagrams, and captions help everyone follow the big picture. </w:t>
      </w:r>
    </w:p>
    <w:p w:rsidR="3B0D30F0" w:rsidP="07C86F07" w:rsidRDefault="3B0D30F0" w14:paraId="1D9326B8" w14:textId="6A1CC3CC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Protect privacy and safety.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Keep participation safe and respectful; follow basic safeguarding and data‑use notes in public materials. </w:t>
      </w:r>
    </w:p>
    <w:p w:rsidR="3B0D30F0" w:rsidP="07C86F07" w:rsidRDefault="3B0D30F0" w14:paraId="190689ED" w14:textId="7EC8F2DF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Keep learning.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Track a handful of simple indicators (reach, representation, “we did” conversions, response times) and improve each cycle. </w:t>
      </w:r>
    </w:p>
    <w:p w:rsidR="07C86F07" w:rsidP="07C86F07" w:rsidRDefault="07C86F07" w14:paraId="1BCA29FE" w14:textId="21D55C01">
      <w:pPr>
        <w:spacing w:before="0" w:beforeAutospacing="off" w:after="0" w:afterAutospacing="off" w:line="300" w:lineRule="auto"/>
        <w:rPr>
          <w:rFonts w:ascii="Arial" w:hAnsi="Arial" w:eastAsia="Arial" w:cs="Arial"/>
        </w:rPr>
      </w:pPr>
    </w:p>
    <w:p w:rsidR="3B0D30F0" w:rsidP="07C86F07" w:rsidRDefault="3B0D30F0" w14:paraId="4D3AE643" w14:textId="25263678">
      <w:pPr>
        <w:pStyle w:val="Heading1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7C86F07" w:rsidR="3B0D30F0">
        <w:rPr>
          <w:rFonts w:ascii="Arial" w:hAnsi="Arial" w:eastAsia="Arial" w:cs="Arial"/>
          <w:b w:val="0"/>
          <w:bCs w:val="0"/>
          <w:noProof w:val="0"/>
          <w:lang w:val="en-US"/>
        </w:rPr>
        <w:t>2) Channels &amp; tone</w:t>
      </w:r>
      <w:r w:rsidRPr="07C86F07" w:rsidR="6FED7352">
        <w:rPr>
          <w:rFonts w:ascii="Arial" w:hAnsi="Arial" w:eastAsia="Arial" w:cs="Arial"/>
          <w:b w:val="0"/>
          <w:bCs w:val="0"/>
          <w:noProof w:val="0"/>
          <w:lang w:val="en-US"/>
        </w:rPr>
        <w:t xml:space="preserve"> </w:t>
      </w:r>
      <w:r w:rsidRPr="07C86F07" w:rsidR="3B0D30F0">
        <w:rPr>
          <w:rFonts w:ascii="Arial" w:hAnsi="Arial" w:eastAsia="Arial" w:cs="Arial"/>
          <w:b w:val="0"/>
          <w:bCs w:val="0"/>
          <w:noProof w:val="0"/>
          <w:lang w:val="en-US"/>
        </w:rPr>
        <w:t xml:space="preserve">quick guide 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305"/>
        <w:gridCol w:w="1181"/>
        <w:gridCol w:w="6154"/>
      </w:tblGrid>
      <w:tr w:rsidR="07C86F07" w:rsidTr="07C86F07" w14:paraId="33BE8D17">
        <w:trPr>
          <w:trHeight w:val="300"/>
        </w:trPr>
        <w:tc>
          <w:tcPr>
            <w:tcW w:w="130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5F5F5"/>
            <w:tcMar/>
            <w:vAlign w:val="center"/>
          </w:tcPr>
          <w:p w:rsidR="07C86F07" w:rsidP="07C86F07" w:rsidRDefault="07C86F07" w14:paraId="6B921ADB" w14:textId="2EC76901">
            <w:pPr>
              <w:spacing w:before="0" w:beforeAutospacing="off" w:after="0" w:afterAutospacing="off" w:line="300" w:lineRule="auto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7C86F07" w:rsidR="07C86F07">
              <w:rPr>
                <w:rFonts w:ascii="Arial" w:hAnsi="Arial" w:eastAsia="Arial" w:cs="Arial"/>
                <w:b w:val="1"/>
                <w:bCs w:val="1"/>
              </w:rPr>
              <w:t>Audience</w:t>
            </w:r>
          </w:p>
        </w:tc>
        <w:tc>
          <w:tcPr>
            <w:tcW w:w="1181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5F5F5"/>
            <w:tcMar/>
            <w:vAlign w:val="center"/>
          </w:tcPr>
          <w:p w:rsidR="07C86F07" w:rsidP="07C86F07" w:rsidRDefault="07C86F07" w14:paraId="2943355C" w14:textId="7D28193E">
            <w:pPr>
              <w:spacing w:before="0" w:beforeAutospacing="off" w:after="0" w:afterAutospacing="off" w:line="300" w:lineRule="auto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7C86F07" w:rsidR="07C86F07">
              <w:rPr>
                <w:rFonts w:ascii="Arial" w:hAnsi="Arial" w:eastAsia="Arial" w:cs="Arial"/>
                <w:b w:val="1"/>
                <w:bCs w:val="1"/>
              </w:rPr>
              <w:t>Tone (how we sound)</w:t>
            </w:r>
          </w:p>
        </w:tc>
        <w:tc>
          <w:tcPr>
            <w:tcW w:w="6154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shd w:val="clear" w:color="auto" w:fill="F5F5F5"/>
            <w:tcMar/>
            <w:vAlign w:val="center"/>
          </w:tcPr>
          <w:p w:rsidR="07C86F07" w:rsidP="07C86F07" w:rsidRDefault="07C86F07" w14:paraId="66F30590" w14:textId="11612A5B">
            <w:pPr>
              <w:spacing w:before="0" w:beforeAutospacing="off" w:after="0" w:afterAutospacing="off" w:line="300" w:lineRule="auto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7C86F07" w:rsidR="07C86F07">
              <w:rPr>
                <w:rFonts w:ascii="Arial" w:hAnsi="Arial" w:eastAsia="Arial" w:cs="Arial"/>
                <w:b w:val="1"/>
                <w:bCs w:val="1"/>
              </w:rPr>
              <w:t>Good channels (how we show up)</w:t>
            </w:r>
          </w:p>
        </w:tc>
      </w:tr>
      <w:tr w:rsidR="07C86F07" w:rsidTr="07C86F07" w14:paraId="5DC87F05">
        <w:trPr>
          <w:trHeight w:val="300"/>
        </w:trPr>
        <w:tc>
          <w:tcPr>
            <w:tcW w:w="130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7C86F07" w:rsidP="07C86F07" w:rsidRDefault="07C86F07" w14:paraId="69DFA7F2" w14:textId="37E9727C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</w:rPr>
            </w:pPr>
            <w:r w:rsidRPr="07C86F07" w:rsidR="07C86F07">
              <w:rPr>
                <w:rFonts w:ascii="Arial" w:hAnsi="Arial" w:eastAsia="Arial" w:cs="Arial"/>
              </w:rPr>
              <w:t>General public</w:t>
            </w:r>
          </w:p>
        </w:tc>
        <w:tc>
          <w:tcPr>
            <w:tcW w:w="1181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7C86F07" w:rsidP="07C86F07" w:rsidRDefault="07C86F07" w14:paraId="2371A31A" w14:textId="166567D5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</w:rPr>
            </w:pPr>
            <w:r w:rsidRPr="07C86F07" w:rsidR="07C86F07">
              <w:rPr>
                <w:rFonts w:ascii="Arial" w:hAnsi="Arial" w:eastAsia="Arial" w:cs="Arial"/>
              </w:rPr>
              <w:t>Friendly, plain English, short</w:t>
            </w:r>
          </w:p>
        </w:tc>
        <w:tc>
          <w:tcPr>
            <w:tcW w:w="6154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7C86F07" w:rsidP="07C86F07" w:rsidRDefault="07C86F07" w14:paraId="34752DA1" w14:textId="2FC3C725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</w:rPr>
            </w:pPr>
            <w:r w:rsidRPr="07C86F07" w:rsidR="07C86F07">
              <w:rPr>
                <w:rFonts w:ascii="Arial" w:hAnsi="Arial" w:eastAsia="Arial" w:cs="Arial"/>
              </w:rPr>
              <w:t>Web page with 300‑word summary; social posts; local press; pop‑up stalls; short video explainer (captioned)</w:t>
            </w:r>
            <w:r w:rsidRPr="07C86F07" w:rsidR="7BA7CD0A">
              <w:rPr>
                <w:rFonts w:ascii="Arial" w:hAnsi="Arial" w:eastAsia="Arial" w:cs="Arial"/>
              </w:rPr>
              <w:t>.</w:t>
            </w:r>
            <w:r w:rsidRPr="07C86F07" w:rsidR="07C86F07">
              <w:rPr>
                <w:rFonts w:ascii="Arial" w:hAnsi="Arial" w:eastAsia="Arial" w:cs="Arial"/>
              </w:rPr>
              <w:t xml:space="preserve"> </w:t>
            </w:r>
          </w:p>
        </w:tc>
      </w:tr>
      <w:tr w:rsidR="07C86F07" w:rsidTr="07C86F07" w14:paraId="486FFA3C">
        <w:trPr>
          <w:trHeight w:val="300"/>
        </w:trPr>
        <w:tc>
          <w:tcPr>
            <w:tcW w:w="130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7C86F07" w:rsidP="07C86F07" w:rsidRDefault="07C86F07" w14:paraId="42EBB861" w14:textId="6561252D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</w:rPr>
            </w:pPr>
            <w:r w:rsidRPr="07C86F07" w:rsidR="07C86F07">
              <w:rPr>
                <w:rFonts w:ascii="Arial" w:hAnsi="Arial" w:eastAsia="Arial" w:cs="Arial"/>
              </w:rPr>
              <w:t>Seldom‑heard groups</w:t>
            </w:r>
          </w:p>
        </w:tc>
        <w:tc>
          <w:tcPr>
            <w:tcW w:w="1181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7C86F07" w:rsidP="07C86F07" w:rsidRDefault="07C86F07" w14:paraId="566DBD7B" w14:textId="55AFF84C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</w:rPr>
            </w:pPr>
            <w:r w:rsidRPr="07C86F07" w:rsidR="07C86F07">
              <w:rPr>
                <w:rFonts w:ascii="Arial" w:hAnsi="Arial" w:eastAsia="Arial" w:cs="Arial"/>
              </w:rPr>
              <w:t>Warm, practical, low‑effort</w:t>
            </w:r>
          </w:p>
        </w:tc>
        <w:tc>
          <w:tcPr>
            <w:tcW w:w="6154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7C86F07" w:rsidP="07C86F07" w:rsidRDefault="07C86F07" w14:paraId="2438170A" w14:textId="3C74C712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</w:rPr>
            </w:pPr>
            <w:r w:rsidRPr="07C86F07" w:rsidR="07C86F07">
              <w:rPr>
                <w:rFonts w:ascii="Arial" w:hAnsi="Arial" w:eastAsia="Arial" w:cs="Arial"/>
                <w:b w:val="1"/>
                <w:bCs w:val="1"/>
              </w:rPr>
              <w:t>Trusted intermediaries</w:t>
            </w:r>
            <w:r w:rsidRPr="07C86F07" w:rsidR="07C86F07">
              <w:rPr>
                <w:rFonts w:ascii="Arial" w:hAnsi="Arial" w:eastAsia="Arial" w:cs="Arial"/>
              </w:rPr>
              <w:t xml:space="preserve"> (schools/faith/youth), mobile “map moments,” phone/post options; translated/large‑print packs; small group sessions</w:t>
            </w:r>
            <w:r w:rsidRPr="07C86F07" w:rsidR="0733B7BE">
              <w:rPr>
                <w:rFonts w:ascii="Arial" w:hAnsi="Arial" w:eastAsia="Arial" w:cs="Arial"/>
              </w:rPr>
              <w:t>.</w:t>
            </w:r>
          </w:p>
        </w:tc>
      </w:tr>
      <w:tr w:rsidR="07C86F07" w:rsidTr="07C86F07" w14:paraId="39E00920">
        <w:trPr>
          <w:trHeight w:val="300"/>
        </w:trPr>
        <w:tc>
          <w:tcPr>
            <w:tcW w:w="130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7C86F07" w:rsidP="07C86F07" w:rsidRDefault="07C86F07" w14:paraId="4C6B36C5" w14:textId="4F8C4415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</w:rPr>
            </w:pPr>
            <w:r w:rsidRPr="07C86F07" w:rsidR="07C86F07">
              <w:rPr>
                <w:rFonts w:ascii="Arial" w:hAnsi="Arial" w:eastAsia="Arial" w:cs="Arial"/>
              </w:rPr>
              <w:t>Young people</w:t>
            </w:r>
          </w:p>
        </w:tc>
        <w:tc>
          <w:tcPr>
            <w:tcW w:w="1181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7C86F07" w:rsidP="07C86F07" w:rsidRDefault="07C86F07" w14:paraId="724A82E2" w14:textId="48E992B8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</w:rPr>
            </w:pPr>
            <w:r w:rsidRPr="07C86F07" w:rsidR="07C86F07">
              <w:rPr>
                <w:rFonts w:ascii="Arial" w:hAnsi="Arial" w:eastAsia="Arial" w:cs="Arial"/>
              </w:rPr>
              <w:t>Conversational, visual, short</w:t>
            </w:r>
          </w:p>
        </w:tc>
        <w:tc>
          <w:tcPr>
            <w:tcW w:w="6154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7C86F07" w:rsidP="07C86F07" w:rsidRDefault="07C86F07" w14:paraId="262CF027" w14:textId="7754C031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</w:rPr>
            </w:pPr>
            <w:r w:rsidRPr="07C86F07" w:rsidR="07C86F07">
              <w:rPr>
                <w:rFonts w:ascii="Arial" w:hAnsi="Arial" w:eastAsia="Arial" w:cs="Arial"/>
              </w:rPr>
              <w:t xml:space="preserve">Short polls; story sliders; co‑creation workshops; youth panels; </w:t>
            </w:r>
            <w:r w:rsidRPr="07C86F07" w:rsidR="07C86F07">
              <w:rPr>
                <w:rFonts w:ascii="Arial" w:hAnsi="Arial" w:eastAsia="Arial" w:cs="Arial"/>
              </w:rPr>
              <w:t>short captioned</w:t>
            </w:r>
            <w:r w:rsidRPr="07C86F07" w:rsidR="07C86F07">
              <w:rPr>
                <w:rFonts w:ascii="Arial" w:hAnsi="Arial" w:eastAsia="Arial" w:cs="Arial"/>
              </w:rPr>
              <w:t xml:space="preserve"> videos</w:t>
            </w:r>
            <w:r w:rsidRPr="07C86F07" w:rsidR="51188F65">
              <w:rPr>
                <w:rFonts w:ascii="Arial" w:hAnsi="Arial" w:eastAsia="Arial" w:cs="Arial"/>
              </w:rPr>
              <w:t>.</w:t>
            </w:r>
            <w:r w:rsidRPr="07C86F07" w:rsidR="07C86F07">
              <w:rPr>
                <w:rFonts w:ascii="Arial" w:hAnsi="Arial" w:eastAsia="Arial" w:cs="Arial"/>
              </w:rPr>
              <w:t xml:space="preserve"> </w:t>
            </w:r>
          </w:p>
        </w:tc>
      </w:tr>
      <w:tr w:rsidR="07C86F07" w:rsidTr="07C86F07" w14:paraId="4EDF5C5D">
        <w:trPr>
          <w:trHeight w:val="300"/>
        </w:trPr>
        <w:tc>
          <w:tcPr>
            <w:tcW w:w="130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7C86F07" w:rsidP="07C86F07" w:rsidRDefault="07C86F07" w14:paraId="6C2F3189" w14:textId="7C735879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</w:rPr>
            </w:pPr>
            <w:r w:rsidRPr="07C86F07" w:rsidR="07C86F07">
              <w:rPr>
                <w:rFonts w:ascii="Arial" w:hAnsi="Arial" w:eastAsia="Arial" w:cs="Arial"/>
              </w:rPr>
              <w:t>Activists/campaign groups</w:t>
            </w:r>
          </w:p>
        </w:tc>
        <w:tc>
          <w:tcPr>
            <w:tcW w:w="1181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7C86F07" w:rsidP="07C86F07" w:rsidRDefault="07C86F07" w14:paraId="7C7A40FE" w14:textId="16A0CBD9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</w:rPr>
            </w:pPr>
            <w:r w:rsidRPr="07C86F07" w:rsidR="07C86F07">
              <w:rPr>
                <w:rFonts w:ascii="Arial" w:hAnsi="Arial" w:eastAsia="Arial" w:cs="Arial"/>
              </w:rPr>
              <w:t>Respectful, transparent, evidence‑linked</w:t>
            </w:r>
          </w:p>
        </w:tc>
        <w:tc>
          <w:tcPr>
            <w:tcW w:w="6154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7C86F07" w:rsidP="07C86F07" w:rsidRDefault="07C86F07" w14:paraId="2AB04ED9" w14:textId="0351C6BD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</w:rPr>
            </w:pPr>
            <w:r w:rsidRPr="07C86F07" w:rsidR="07C86F07">
              <w:rPr>
                <w:rFonts w:ascii="Arial" w:hAnsi="Arial" w:eastAsia="Arial" w:cs="Arial"/>
              </w:rPr>
              <w:t>Open forums with clear rules; publish sources; Q\&amp;A sheets; route to technical annex if they want depth</w:t>
            </w:r>
            <w:r w:rsidRPr="07C86F07" w:rsidR="2FE596F8">
              <w:rPr>
                <w:rFonts w:ascii="Arial" w:hAnsi="Arial" w:eastAsia="Arial" w:cs="Arial"/>
              </w:rPr>
              <w:t>.</w:t>
            </w:r>
          </w:p>
        </w:tc>
      </w:tr>
      <w:tr w:rsidR="07C86F07" w:rsidTr="07C86F07" w14:paraId="5E6520AC">
        <w:trPr>
          <w:trHeight w:val="300"/>
        </w:trPr>
        <w:tc>
          <w:tcPr>
            <w:tcW w:w="130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7C86F07" w:rsidP="07C86F07" w:rsidRDefault="07C86F07" w14:paraId="297DABD0" w14:textId="56A62697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</w:rPr>
            </w:pPr>
            <w:r w:rsidRPr="07C86F07" w:rsidR="07C86F07">
              <w:rPr>
                <w:rFonts w:ascii="Arial" w:hAnsi="Arial" w:eastAsia="Arial" w:cs="Arial"/>
              </w:rPr>
              <w:t>Businesses/investors</w:t>
            </w:r>
          </w:p>
        </w:tc>
        <w:tc>
          <w:tcPr>
            <w:tcW w:w="1181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7C86F07" w:rsidP="07C86F07" w:rsidRDefault="07C86F07" w14:paraId="73495721" w14:textId="0BE8EA33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</w:rPr>
            </w:pPr>
            <w:r w:rsidRPr="07C86F07" w:rsidR="07C86F07">
              <w:rPr>
                <w:rFonts w:ascii="Arial" w:hAnsi="Arial" w:eastAsia="Arial" w:cs="Arial"/>
              </w:rPr>
              <w:t>Outcome‑oriented, concise</w:t>
            </w:r>
          </w:p>
        </w:tc>
        <w:tc>
          <w:tcPr>
            <w:tcW w:w="6154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7C86F07" w:rsidP="07C86F07" w:rsidRDefault="07C86F07" w14:paraId="11FA44B4" w14:textId="6370FE8B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</w:rPr>
            </w:pPr>
            <w:r w:rsidRPr="07C86F07" w:rsidR="07C86F07">
              <w:rPr>
                <w:rFonts w:ascii="Arial" w:hAnsi="Arial" w:eastAsia="Arial" w:cs="Arial"/>
              </w:rPr>
              <w:t>Briefing notes; roundtables; map‑led discussions about infrastructure logic and timing</w:t>
            </w:r>
            <w:r w:rsidRPr="07C86F07" w:rsidR="71512614">
              <w:rPr>
                <w:rFonts w:ascii="Arial" w:hAnsi="Arial" w:eastAsia="Arial" w:cs="Arial"/>
              </w:rPr>
              <w:t>.</w:t>
            </w:r>
            <w:r w:rsidRPr="07C86F07" w:rsidR="07C86F07">
              <w:rPr>
                <w:rFonts w:ascii="Arial" w:hAnsi="Arial" w:eastAsia="Arial" w:cs="Arial"/>
              </w:rPr>
              <w:t xml:space="preserve"> </w:t>
            </w:r>
          </w:p>
        </w:tc>
      </w:tr>
      <w:tr w:rsidR="07C86F07" w:rsidTr="07C86F07" w14:paraId="41E55A9D">
        <w:trPr>
          <w:trHeight w:val="300"/>
        </w:trPr>
        <w:tc>
          <w:tcPr>
            <w:tcW w:w="130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7C86F07" w:rsidP="07C86F07" w:rsidRDefault="07C86F07" w14:paraId="174B00F6" w14:textId="609EA4B3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</w:rPr>
            </w:pPr>
            <w:r w:rsidRPr="07C86F07" w:rsidR="07C86F07">
              <w:rPr>
                <w:rFonts w:ascii="Arial" w:hAnsi="Arial" w:eastAsia="Arial" w:cs="Arial"/>
              </w:rPr>
              <w:t>Members &amp; officers</w:t>
            </w:r>
          </w:p>
        </w:tc>
        <w:tc>
          <w:tcPr>
            <w:tcW w:w="1181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7C86F07" w:rsidP="07C86F07" w:rsidRDefault="07C86F07" w14:paraId="0054E42E" w14:textId="6801AAAB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</w:rPr>
            </w:pPr>
            <w:r w:rsidRPr="07C86F07" w:rsidR="07C86F07">
              <w:rPr>
                <w:rFonts w:ascii="Arial" w:hAnsi="Arial" w:eastAsia="Arial" w:cs="Arial"/>
              </w:rPr>
              <w:t>Clear, decision‑linked</w:t>
            </w:r>
          </w:p>
        </w:tc>
        <w:tc>
          <w:tcPr>
            <w:tcW w:w="6154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7C86F07" w:rsidP="07C86F07" w:rsidRDefault="07C86F07" w14:paraId="3B719F01" w14:textId="20E7DA98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</w:rPr>
            </w:pPr>
            <w:r w:rsidRPr="07C86F07" w:rsidR="07C86F07">
              <w:rPr>
                <w:rFonts w:ascii="Arial" w:hAnsi="Arial" w:eastAsia="Arial" w:cs="Arial"/>
              </w:rPr>
              <w:t>Quarterly gateway briefings, 1‑page visuals, “what changed since last quarter” slide</w:t>
            </w:r>
            <w:r w:rsidRPr="07C86F07" w:rsidR="2F8A539E">
              <w:rPr>
                <w:rFonts w:ascii="Arial" w:hAnsi="Arial" w:eastAsia="Arial" w:cs="Arial"/>
              </w:rPr>
              <w:t>.</w:t>
            </w:r>
          </w:p>
        </w:tc>
      </w:tr>
      <w:tr w:rsidR="07C86F07" w:rsidTr="07C86F07" w14:paraId="28E0AB8D">
        <w:trPr>
          <w:trHeight w:val="300"/>
        </w:trPr>
        <w:tc>
          <w:tcPr>
            <w:tcW w:w="1305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7C86F07" w:rsidP="07C86F07" w:rsidRDefault="07C86F07" w14:paraId="5E9B004F" w14:textId="204752C7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</w:rPr>
            </w:pPr>
            <w:r w:rsidRPr="07C86F07" w:rsidR="07C86F07">
              <w:rPr>
                <w:rFonts w:ascii="Arial" w:hAnsi="Arial" w:eastAsia="Arial" w:cs="Arial"/>
              </w:rPr>
              <w:t>Agencies/utilities</w:t>
            </w:r>
          </w:p>
        </w:tc>
        <w:tc>
          <w:tcPr>
            <w:tcW w:w="1181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7C86F07" w:rsidP="07C86F07" w:rsidRDefault="07C86F07" w14:paraId="310BB59A" w14:textId="472A4B2C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</w:rPr>
            </w:pPr>
            <w:r w:rsidRPr="07C86F07" w:rsidR="07C86F07">
              <w:rPr>
                <w:rFonts w:ascii="Arial" w:hAnsi="Arial" w:eastAsia="Arial" w:cs="Arial"/>
              </w:rPr>
              <w:t>Factual, collaborative</w:t>
            </w:r>
          </w:p>
        </w:tc>
        <w:tc>
          <w:tcPr>
            <w:tcW w:w="6154" w:type="dxa"/>
            <w:tcBorders>
              <w:top w:val="single" w:color="E6E6E6" w:sz="6"/>
              <w:left w:val="single" w:color="E6E6E6" w:sz="6"/>
              <w:bottom w:val="single" w:color="E6E6E6" w:sz="6"/>
              <w:right w:val="single" w:color="E6E6E6" w:sz="6"/>
            </w:tcBorders>
            <w:tcMar/>
            <w:vAlign w:val="center"/>
          </w:tcPr>
          <w:p w:rsidR="07C86F07" w:rsidP="07C86F07" w:rsidRDefault="07C86F07" w14:paraId="3595E870" w14:textId="62D3C7B9">
            <w:pPr>
              <w:spacing w:before="0" w:beforeAutospacing="off" w:after="0" w:afterAutospacing="off" w:line="300" w:lineRule="auto"/>
              <w:rPr>
                <w:rFonts w:ascii="Arial" w:hAnsi="Arial" w:eastAsia="Arial" w:cs="Arial"/>
              </w:rPr>
            </w:pPr>
            <w:r w:rsidRPr="07C86F07" w:rsidR="07C86F07">
              <w:rPr>
                <w:rFonts w:ascii="Arial" w:hAnsi="Arial" w:eastAsia="Arial" w:cs="Arial"/>
              </w:rPr>
              <w:t xml:space="preserve">Inter‑agency forums/boards; </w:t>
            </w:r>
            <w:r w:rsidRPr="07C86F07" w:rsidR="07C86F07">
              <w:rPr>
                <w:rFonts w:ascii="Arial" w:hAnsi="Arial" w:eastAsia="Arial" w:cs="Arial"/>
              </w:rPr>
              <w:t>MoUs</w:t>
            </w:r>
            <w:r w:rsidRPr="07C86F07" w:rsidR="07C86F07">
              <w:rPr>
                <w:rFonts w:ascii="Arial" w:hAnsi="Arial" w:eastAsia="Arial" w:cs="Arial"/>
              </w:rPr>
              <w:t>/</w:t>
            </w:r>
            <w:r w:rsidRPr="07C86F07" w:rsidR="07C86F07">
              <w:rPr>
                <w:rFonts w:ascii="Arial" w:hAnsi="Arial" w:eastAsia="Arial" w:cs="Arial"/>
              </w:rPr>
              <w:t>SoCG</w:t>
            </w:r>
            <w:r w:rsidRPr="07C86F07" w:rsidR="07C86F07">
              <w:rPr>
                <w:rFonts w:ascii="Arial" w:hAnsi="Arial" w:eastAsia="Arial" w:cs="Arial"/>
              </w:rPr>
              <w:t>; shared evidence sessions; decision logs</w:t>
            </w:r>
            <w:r w:rsidRPr="07C86F07" w:rsidR="06705843">
              <w:rPr>
                <w:rFonts w:ascii="Arial" w:hAnsi="Arial" w:eastAsia="Arial" w:cs="Arial"/>
              </w:rPr>
              <w:t>.</w:t>
            </w:r>
          </w:p>
        </w:tc>
      </w:tr>
    </w:tbl>
    <w:p w:rsidR="07C86F07" w:rsidP="07C86F07" w:rsidRDefault="07C86F07" w14:paraId="4C3A6E44" w14:textId="6A138A39">
      <w:pPr>
        <w:bidi w:val="0"/>
        <w:spacing w:before="0" w:beforeAutospacing="off" w:after="0" w:afterAutospacing="off" w:line="300" w:lineRule="auto"/>
        <w:rPr>
          <w:rFonts w:ascii="Arial" w:hAnsi="Arial" w:eastAsia="Arial" w:cs="Arial"/>
        </w:rPr>
      </w:pPr>
    </w:p>
    <w:p w:rsidR="3B0D30F0" w:rsidP="07C86F07" w:rsidRDefault="3B0D30F0" w14:paraId="6BF35C52" w14:textId="435F59DC">
      <w:pPr>
        <w:pStyle w:val="Heading1"/>
        <w:bidi w:val="0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7C86F07" w:rsidR="3B0D30F0">
        <w:rPr>
          <w:b w:val="0"/>
          <w:bCs w:val="0"/>
          <w:noProof w:val="0"/>
          <w:lang w:val="en-US"/>
        </w:rPr>
        <w:t xml:space="preserve">3) Inclusion &amp; equal voice </w:t>
      </w:r>
    </w:p>
    <w:p w:rsidR="3B0D30F0" w:rsidP="07C86F07" w:rsidRDefault="3B0D30F0" w14:paraId="37E523EB" w14:textId="56DFCF1D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Remove barriers: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offer translation, Easy Read, large print, </w:t>
      </w: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BSL/captions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, step‑free venues, childcare/time‑of‑day options, expenses where 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appropriate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. </w:t>
      </w:r>
    </w:p>
    <w:p w:rsidR="3B0D30F0" w:rsidP="07C86F07" w:rsidRDefault="3B0D30F0" w14:paraId="7AF6B189" w14:textId="75304F0D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Trusted routes: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ask community 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organisations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to host 20‑minute explainers; keep surveys to </w:t>
      </w: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5–7 questions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and 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provide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offline options (phone/post). </w:t>
      </w:r>
    </w:p>
    <w:p w:rsidR="3B0D30F0" w:rsidP="07C86F07" w:rsidRDefault="3B0D30F0" w14:paraId="7784D7C3" w14:textId="062961AF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Fair facilitation: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set ground rules, time‑box contributions, rotate who speaks first, and publish how inputs were weighed in decisions. </w:t>
      </w:r>
    </w:p>
    <w:p w:rsidR="07C86F07" w:rsidP="07C86F07" w:rsidRDefault="07C86F07" w14:paraId="1ABA25FF" w14:textId="29A03B44">
      <w:pPr>
        <w:bidi w:val="0"/>
        <w:spacing w:before="0" w:beforeAutospacing="off" w:after="0" w:afterAutospacing="off" w:line="300" w:lineRule="auto"/>
        <w:rPr>
          <w:rFonts w:ascii="Arial" w:hAnsi="Arial" w:eastAsia="Arial" w:cs="Arial"/>
        </w:rPr>
      </w:pPr>
    </w:p>
    <w:p w:rsidR="07C86F07" w:rsidP="07C86F07" w:rsidRDefault="07C86F07" w14:paraId="4E550503" w14:textId="55C08029">
      <w:pPr>
        <w:bidi w:val="0"/>
        <w:spacing w:before="0" w:beforeAutospacing="off" w:after="0" w:afterAutospacing="off" w:line="300" w:lineRule="auto"/>
        <w:rPr>
          <w:rFonts w:ascii="Arial" w:hAnsi="Arial" w:eastAsia="Arial" w:cs="Arial"/>
        </w:rPr>
      </w:pPr>
    </w:p>
    <w:p w:rsidR="27D6348E" w:rsidP="07C86F07" w:rsidRDefault="27D6348E" w14:paraId="54E99D74" w14:textId="40B0FC9F">
      <w:pPr>
        <w:pStyle w:val="Heading1"/>
        <w:bidi w:val="0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7C86F07" w:rsidR="27D6348E">
        <w:rPr>
          <w:rFonts w:ascii="Arial" w:hAnsi="Arial" w:eastAsia="Arial" w:cs="Arial"/>
          <w:b w:val="0"/>
          <w:bCs w:val="0"/>
          <w:noProof w:val="0"/>
          <w:lang w:val="en-US"/>
        </w:rPr>
        <w:t>4</w:t>
      </w:r>
      <w:r w:rsidRPr="07C86F07" w:rsidR="3B0D30F0">
        <w:rPr>
          <w:rFonts w:ascii="Arial" w:hAnsi="Arial" w:eastAsia="Arial" w:cs="Arial"/>
          <w:b w:val="0"/>
          <w:bCs w:val="0"/>
          <w:noProof w:val="0"/>
          <w:lang w:val="en-US"/>
        </w:rPr>
        <w:t xml:space="preserve">) Handling highly‑resourced or activist groups </w:t>
      </w:r>
    </w:p>
    <w:p w:rsidR="3B0D30F0" w:rsidP="07C86F07" w:rsidRDefault="3B0D30F0" w14:paraId="708C020C" w14:textId="7128D6E7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 xml:space="preserve">Acknowledge </w:t>
      </w: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expertise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and give a route to detailed material (technical annex/links), while keeping the </w:t>
      </w: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main conversation simple and inclusive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.</w:t>
      </w:r>
    </w:p>
    <w:p w:rsidR="3B0D30F0" w:rsidP="07C86F07" w:rsidRDefault="3B0D30F0" w14:paraId="46E1697E" w14:textId="2797C47A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Be transparent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about evidence, constraints, and the SDS/Local Plan split; correct misinformation quickly via your issues protocol. </w:t>
      </w:r>
    </w:p>
    <w:p w:rsidR="3B0D30F0" w:rsidP="07C86F07" w:rsidRDefault="3B0D30F0" w14:paraId="0A5188C4" w14:textId="22824BCA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Protect equal time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so seldom‑heard participants can speak and be heard. </w:t>
      </w:r>
    </w:p>
    <w:p w:rsidR="07C86F07" w:rsidP="07C86F07" w:rsidRDefault="07C86F07" w14:paraId="5CB55546" w14:textId="4792CD06">
      <w:pPr>
        <w:bidi w:val="0"/>
        <w:spacing w:before="0" w:beforeAutospacing="off" w:after="0" w:afterAutospacing="off" w:line="300" w:lineRule="auto"/>
        <w:rPr>
          <w:rFonts w:ascii="Arial" w:hAnsi="Arial" w:eastAsia="Arial" w:cs="Arial"/>
        </w:rPr>
      </w:pPr>
    </w:p>
    <w:p w:rsidR="7B445DB1" w:rsidP="07C86F07" w:rsidRDefault="7B445DB1" w14:paraId="1441FF7D" w14:textId="67C58D17">
      <w:pPr>
        <w:pStyle w:val="Heading1"/>
        <w:bidi w:val="0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7C86F07" w:rsidR="7B445DB1">
        <w:rPr>
          <w:rFonts w:ascii="Arial" w:hAnsi="Arial" w:eastAsia="Arial" w:cs="Arial"/>
          <w:b w:val="0"/>
          <w:bCs w:val="0"/>
          <w:noProof w:val="0"/>
          <w:lang w:val="en-US"/>
        </w:rPr>
        <w:t>5</w:t>
      </w:r>
      <w:r w:rsidRPr="07C86F07" w:rsidR="3B0D30F0">
        <w:rPr>
          <w:rFonts w:ascii="Arial" w:hAnsi="Arial" w:eastAsia="Arial" w:cs="Arial"/>
          <w:b w:val="0"/>
          <w:bCs w:val="0"/>
          <w:noProof w:val="0"/>
          <w:lang w:val="en-US"/>
        </w:rPr>
        <w:t xml:space="preserve">) Trust‑building habits </w:t>
      </w:r>
    </w:p>
    <w:p w:rsidR="3B0D30F0" w:rsidP="07C86F07" w:rsidRDefault="3B0D30F0" w14:paraId="743CEFCD" w14:textId="070B134E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 xml:space="preserve">Say what SDS </w:t>
      </w: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can/can’t</w:t>
      </w: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 xml:space="preserve"> do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, every time. </w:t>
      </w:r>
    </w:p>
    <w:p w:rsidR="3B0D30F0" w:rsidP="07C86F07" w:rsidRDefault="3B0D30F0" w14:paraId="13C86853" w14:textId="4BDA36F5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Publish what changed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(and what 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didn’t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, and why) after each activity. </w:t>
      </w:r>
    </w:p>
    <w:p w:rsidR="3B0D30F0" w:rsidP="07C86F07" w:rsidRDefault="3B0D30F0" w14:paraId="14F09D7F" w14:textId="79C1E600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Use consistent, accessible materials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across channels. </w:t>
      </w:r>
    </w:p>
    <w:p w:rsidR="3B0D30F0" w:rsidP="07C86F07" w:rsidRDefault="3B0D30F0" w14:paraId="712B9E94" w14:textId="0A268FDC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  <w:r w:rsidRPr="07C86F07" w:rsidR="3B0D30F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en-US"/>
        </w:rPr>
        <w:t>Record decisions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(forums/panels) and keep a simple public register of 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MoUs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/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SoCG</w:t>
      </w:r>
      <w:r w:rsidRPr="07C86F07" w:rsidR="3B0D30F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. </w:t>
      </w:r>
    </w:p>
    <w:p w:rsidR="07C86F07" w:rsidP="07C86F07" w:rsidRDefault="07C86F07" w14:paraId="1E2F4D00" w14:textId="516D26A9">
      <w:pPr>
        <w:bidi w:val="0"/>
        <w:spacing w:before="0" w:beforeAutospacing="off" w:after="0" w:afterAutospacing="off" w:line="300" w:lineRule="auto"/>
        <w:rPr>
          <w:rFonts w:ascii="Arial" w:hAnsi="Arial" w:eastAsia="Arial" w:cs="Arial"/>
        </w:rPr>
      </w:pPr>
    </w:p>
    <w:p w:rsidR="07C86F07" w:rsidP="07C86F07" w:rsidRDefault="07C86F07" w14:paraId="3A9689BD" w14:textId="519E69BE">
      <w:pPr>
        <w:rPr>
          <w:rFonts w:ascii="Arial" w:hAnsi="Arial" w:eastAsia="Arial" w:cs="Arial"/>
        </w:rPr>
      </w:pP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5">
    <w:nsid w:val="2f86f6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fb02c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1e1e93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833d2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c3f1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3d84a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b1ec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64796"/>
    <w:rsid w:val="0029639D"/>
    <w:rsid w:val="00326F90"/>
    <w:rsid w:val="00AA1D8D"/>
    <w:rsid w:val="00B47730"/>
    <w:rsid w:val="00CB0664"/>
    <w:rsid w:val="00FC693F"/>
    <w:rsid w:val="06705843"/>
    <w:rsid w:val="0733B7BE"/>
    <w:rsid w:val="07C86F07"/>
    <w:rsid w:val="0A08AF8D"/>
    <w:rsid w:val="0D9B62FD"/>
    <w:rsid w:val="0F7FC727"/>
    <w:rsid w:val="13189C94"/>
    <w:rsid w:val="1BD59EC2"/>
    <w:rsid w:val="21BC32E7"/>
    <w:rsid w:val="27D6348E"/>
    <w:rsid w:val="291BBFD7"/>
    <w:rsid w:val="2C4C19C5"/>
    <w:rsid w:val="2C4C19C5"/>
    <w:rsid w:val="2D4837CA"/>
    <w:rsid w:val="2DFB7FF6"/>
    <w:rsid w:val="2F8A539E"/>
    <w:rsid w:val="2FE596F8"/>
    <w:rsid w:val="306C534B"/>
    <w:rsid w:val="38584C12"/>
    <w:rsid w:val="3A17FCBF"/>
    <w:rsid w:val="3B0D30F0"/>
    <w:rsid w:val="3C74BC55"/>
    <w:rsid w:val="3E422C71"/>
    <w:rsid w:val="3E422C71"/>
    <w:rsid w:val="4E01B10B"/>
    <w:rsid w:val="50EB87A7"/>
    <w:rsid w:val="51188F65"/>
    <w:rsid w:val="51B3701A"/>
    <w:rsid w:val="54ABE1DB"/>
    <w:rsid w:val="55B809E3"/>
    <w:rsid w:val="56348535"/>
    <w:rsid w:val="56583F1D"/>
    <w:rsid w:val="6600E9D4"/>
    <w:rsid w:val="6600E9D4"/>
    <w:rsid w:val="6A50B51D"/>
    <w:rsid w:val="6A533A13"/>
    <w:rsid w:val="6CD16639"/>
    <w:rsid w:val="6F1362B3"/>
    <w:rsid w:val="6F38A00B"/>
    <w:rsid w:val="6FED7352"/>
    <w:rsid w:val="71512614"/>
    <w:rsid w:val="72FC38F0"/>
    <w:rsid w:val="76A32195"/>
    <w:rsid w:val="76A32195"/>
    <w:rsid w:val="792DC092"/>
    <w:rsid w:val="7B445DB1"/>
    <w:rsid w:val="7BA7C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A871AE37-6CA0-46E9-B9E5-49C6F8D418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07C86F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774A0D0F4CC4D8CB290BEE6FD2D88" ma:contentTypeVersion="17" ma:contentTypeDescription="Create a new document." ma:contentTypeScope="" ma:versionID="ebc488b8bcd0aa6a36d66abe32969935">
  <xsd:schema xmlns:xsd="http://www.w3.org/2001/XMLSchema" xmlns:xs="http://www.w3.org/2001/XMLSchema" xmlns:p="http://schemas.microsoft.com/office/2006/metadata/properties" xmlns:ns2="570d8842-31e2-4da1-881d-2e6e713e7649" xmlns:ns3="4c0fc6d1-1ff6-4501-9111-f8704c4ff172" targetNamespace="http://schemas.microsoft.com/office/2006/metadata/properties" ma:root="true" ma:fieldsID="3a721cdb89b4c117d3a7778856f04bd6" ns2:_="" ns3:_="">
    <xsd:import namespace="570d8842-31e2-4da1-881d-2e6e713e7649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8842-31e2-4da1-881d-2e6e713e7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460c269-c4b6-4590-a052-61368eabc0e5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0d8842-31e2-4da1-881d-2e6e713e7649">
      <Terms xmlns="http://schemas.microsoft.com/office/infopath/2007/PartnerControls"/>
    </lcf76f155ced4ddcb4097134ff3c332f>
    <TaxCatchAll xmlns="4c0fc6d1-1ff6-4501-9111-f8704c4ff172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656286-255D-43B2-B589-27AE9E8112BA}"/>
</file>

<file path=customXml/itemProps3.xml><?xml version="1.0" encoding="utf-8"?>
<ds:datastoreItem xmlns:ds="http://schemas.openxmlformats.org/officeDocument/2006/customXml" ds:itemID="{77D4D127-A67B-475C-B817-589C5F0E25C2}"/>
</file>

<file path=customXml/itemProps4.xml><?xml version="1.0" encoding="utf-8"?>
<ds:datastoreItem xmlns:ds="http://schemas.openxmlformats.org/officeDocument/2006/customXml" ds:itemID="{59951599-F295-4BEB-9505-5C7B48BB33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Guest User</cp:lastModifiedBy>
  <cp:revision>3</cp:revision>
  <dcterms:created xsi:type="dcterms:W3CDTF">2013-12-23T23:15:00Z</dcterms:created>
  <dcterms:modified xsi:type="dcterms:W3CDTF">2026-02-10T14:26:53Z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0x010100E00774A0D0F4CC4D8CB290BEE6FD2D88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