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A994905" w:rsidP="099C1985" w:rsidRDefault="6A994905" w14:paraId="46B64B77" w14:textId="25E1EE1A">
      <w:pPr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99C1985" w:rsidR="6A99490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Political &amp; Legislative Tracker</w:t>
      </w:r>
      <w:r w:rsidRPr="099C1985" w:rsidR="14401A0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</w:t>
      </w:r>
      <w:r w:rsidRPr="099C1985" w:rsidR="6A99490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Plain‑English Guidance (for 3.9/3.8)</w:t>
      </w:r>
    </w:p>
    <w:p w:rsidR="6A994905" w:rsidP="099C1985" w:rsidRDefault="6A994905" w14:paraId="25CB28D0" w14:textId="562D3BF3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9C1985" w:rsidR="6A99490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Version: 1.0 (Draft)</w:t>
      </w:r>
      <w:r w:rsidRPr="099C1985" w:rsidR="1069FA5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99C1985" w:rsidR="6A99490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 Jan 2026</w:t>
      </w:r>
    </w:p>
    <w:p w:rsidR="6A994905" w:rsidP="099C1985" w:rsidRDefault="6A994905" w14:paraId="27A194F1" w14:textId="090C12F2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9C1985" w:rsidR="6A99490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</w:t>
      </w:r>
    </w:p>
    <w:p w:rsidR="6A994905" w:rsidP="099C1985" w:rsidRDefault="6A994905" w14:paraId="45B83E71" w14:textId="5F5CA198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9C1985" w:rsidR="6A99490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Give SPAs one place to track three streams and trigger updates: (A) national policy &amp; legislation, (B) political calendar &amp; election risk, (C) institutional/governance formation. Output feeds the Delta‑Update Register and informs Governance </w:t>
      </w:r>
      <w:r w:rsidRPr="099C1985" w:rsidR="6A99490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ToR</w:t>
      </w:r>
      <w:r w:rsidRPr="099C1985" w:rsidR="6A99490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Project Plan and Engagement.</w:t>
      </w:r>
      <w:r w:rsidRPr="099C1985" w:rsidR="409E1A6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These are excel based so they can be uploaded in MS365 </w:t>
      </w:r>
      <w:r w:rsidRPr="099C1985" w:rsidR="409E1A6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sharepoint</w:t>
      </w:r>
      <w:r w:rsidRPr="099C1985" w:rsidR="409E1A6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automated and </w:t>
      </w:r>
      <w:r w:rsidRPr="099C1985" w:rsidR="409E1A6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monitored</w:t>
      </w:r>
      <w:r w:rsidRPr="099C1985" w:rsidR="128304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using power automate tools and power BI dashboards</w:t>
      </w:r>
    </w:p>
    <w:p w:rsidR="1260D8B9" w:rsidP="099C1985" w:rsidRDefault="1260D8B9" w14:paraId="5077E5D0" w14:textId="013A711F">
      <w:pPr>
        <w:pStyle w:val="Heading2"/>
        <w:spacing w:before="261" w:beforeAutospacing="off" w:after="261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</w:pP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  <w:t>What’s inside (structure)</w:t>
      </w:r>
    </w:p>
    <w:p w:rsidR="1260D8B9" w:rsidP="099C1985" w:rsidRDefault="1260D8B9" w14:paraId="292EC08D" w14:textId="792AFD39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All_Tracker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(primary working sheet)</w:t>
      </w:r>
      <w:r>
        <w:br/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Columns include: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ID, Date detected, Stream (A/B/C), Category, Item/Milestone, Jurisdiction, Status, RAG, Detail summary (plain English), SDS impact (plain English), Required action, Owner, Due date, Affected tools/chapters, Source, Link, Last updated.</w:t>
      </w:r>
      <w:r>
        <w:br/>
      </w:r>
      <w:r w:rsidRPr="099C1985" w:rsidR="1260D8B9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>Streams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 – Legislation/Policy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B – Political calendar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C – Governance formation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1260D8B9" w:rsidP="099C1985" w:rsidRDefault="1260D8B9" w14:paraId="14E0BE2B" w14:textId="19BE179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Delta_Update_Log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>
        <w:br/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When an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All_Tracker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line needs a toolkit change, it is mirrored here with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Change ID, Trigger (Tracker ID), Change summary,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Affected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tools/chapters, Action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required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, Owner, Due date, Status, Notes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1260D8B9" w:rsidP="099C1985" w:rsidRDefault="1260D8B9" w14:paraId="77BC51BA" w14:textId="6572D87A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Lists &amp; Guidance</w:t>
      </w:r>
      <w:r>
        <w:br/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One‑page usage instructions + validation lists (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RAG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).</w:t>
      </w:r>
    </w:p>
    <w:p w:rsidR="099C1985" w:rsidP="099C1985" w:rsidRDefault="099C1985" w14:paraId="0863A3FB" w14:textId="5ADDAA2B">
      <w:pPr>
        <w:spacing w:before="0" w:beforeAutospacing="off" w:after="0" w:afterAutospacing="off" w:line="300" w:lineRule="auto"/>
        <w:rPr>
          <w:rFonts w:ascii="Arial Nova" w:hAnsi="Arial Nova" w:eastAsia="Arial Nova" w:cs="Arial Nova"/>
        </w:rPr>
      </w:pPr>
    </w:p>
    <w:p w:rsidR="0CE37ED8" w:rsidP="099C1985" w:rsidRDefault="0CE37ED8" w14:paraId="3DBE7BD9" w14:textId="36E28798">
      <w:pPr>
        <w:pStyle w:val="Heading2"/>
        <w:spacing w:before="261" w:beforeAutospacing="off" w:after="261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</w:pPr>
      <w:r w:rsidRPr="099C1985" w:rsidR="0CE37ED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  <w:t>P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  <w:t xml:space="preserve">re‑loaded </w:t>
      </w:r>
      <w:r w:rsidRPr="099C1985" w:rsidR="695DA3F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  <w:t xml:space="preserve">Entries 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  <w:t>(last 3 months)</w:t>
      </w:r>
    </w:p>
    <w:p w:rsidR="1260D8B9" w:rsidP="099C1985" w:rsidRDefault="1260D8B9" w14:paraId="6FBDA3F5" w14:textId="2A32F97A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(All in plain English, with owner &amp; action fields ready to assign. Dates and sources are linked for </w:t>
      </w:r>
      <w:r w:rsidRPr="099C1985" w:rsidR="1260D8B9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>audit.)</w:t>
      </w:r>
    </w:p>
    <w:p w:rsidR="1260D8B9" w:rsidP="099C1985" w:rsidRDefault="1260D8B9" w14:paraId="7A2FEC5A" w14:textId="50E3B38E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NPPF consultation opens (Dec 16, 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2025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→ closes Mar 10, 2026)</w:t>
      </w:r>
      <w:r w:rsidRPr="099C1985" w:rsidR="6E65BB2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: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 A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RAG: Amber</w:t>
      </w:r>
    </w:p>
    <w:p w:rsidR="1260D8B9" w:rsidP="099C1985" w:rsidRDefault="1260D8B9" w14:paraId="4D2F3A6B" w14:textId="105D5815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>
        <w:br/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Why it matters: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Draft NPPF proposes a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stronger in‑settlement presumption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higher density around well‑connected rail stations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(incl. defined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“grey belt”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pathways and “golden rules”), a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clearer split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between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plan‑making vs decision‑making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policies, and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standardised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inputs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 evidence/viability.</w:t>
      </w:r>
    </w:p>
    <w:p w:rsidR="1260D8B9" w:rsidP="099C1985" w:rsidRDefault="1260D8B9" w14:paraId="7D3ECC4A" w14:textId="57200693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>
        <w:br/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Action: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Raise a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Delta‑Update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to retune SDS scope/indicators (station‑area density), update evidence briefs to the 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standardised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inputs/viability, prepare a short local explainer, and schedule your formal response by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03 Mar 2026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</w:p>
    <w:p w:rsidR="099C1985" w:rsidP="099C1985" w:rsidRDefault="099C1985" w14:paraId="55FA7CDD" w14:textId="6A01609E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1260D8B9" w:rsidP="099C1985" w:rsidRDefault="1260D8B9" w14:paraId="5C5E0413" w14:textId="0781F393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Planning &amp; Infrastructure Act 2025 — Royal Assent (Dec 18, 2025)</w:t>
      </w:r>
      <w:r w:rsidRPr="099C1985" w:rsidR="2136AE4E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;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 A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RAG: Green</w:t>
      </w:r>
    </w:p>
    <w:p w:rsidR="1260D8B9" w:rsidP="099C1985" w:rsidRDefault="1260D8B9" w14:paraId="7445524A" w14:textId="6F59C910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>
        <w:br/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Why it matters: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The Bill is now the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Act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—with staged commencement. It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enables a universal SDS system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gives powers for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Strategic Planning Boards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modernises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planning committees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streamlines NSIPs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and introduces the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Nature Restoration Fund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, among others.</w:t>
      </w:r>
    </w:p>
    <w:p w:rsidR="1260D8B9" w:rsidP="099C1985" w:rsidRDefault="1260D8B9" w14:paraId="56B1646F" w14:textId="1317BADD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>
        <w:br/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Action: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Add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Strategic Planning Board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contingency to your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Governance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ToR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brief leaders on early commencements, and track commencement SIs. </w:t>
      </w:r>
      <w:r w:rsidRPr="099C1985" w:rsidR="1260D8B9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>(Delta‑Update created)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</w:p>
    <w:p w:rsidR="099C1985" w:rsidP="099C1985" w:rsidRDefault="099C1985" w14:paraId="627C05F3" w14:textId="3687AE47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1260D8B9" w:rsidP="099C1985" w:rsidRDefault="1260D8B9" w14:paraId="13FAD7D9" w14:textId="074DBD76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Natural England on Royal Assent (Dec 18, 2025)</w:t>
      </w:r>
      <w:r w:rsidRPr="099C1985" w:rsidR="4C5D293B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: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 A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RAG: Amber</w:t>
      </w:r>
    </w:p>
    <w:p w:rsidR="1260D8B9" w:rsidP="099C1985" w:rsidRDefault="1260D8B9" w14:paraId="39912F25" w14:textId="0E13B26D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>
        <w:br/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Why it matters: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NE set out how it will 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operate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under the 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Act</w:t>
      </w:r>
      <w:r w:rsidRPr="099C1985" w:rsidR="637818AD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regular NPS reviews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a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streamlined NSIP process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and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sub‑regional strategic planning via SDS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1260D8B9" w:rsidP="099C1985" w:rsidRDefault="1260D8B9" w14:paraId="75E45127" w14:textId="13A75349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>
        <w:br/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Action: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Align environmental evidence and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EOR/BNG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interplay with NE practice; engage early on NSIP‑linked evidence. </w:t>
      </w:r>
    </w:p>
    <w:p w:rsidR="099C1985" w:rsidP="099C1985" w:rsidRDefault="099C1985" w14:paraId="5DB34310" w14:textId="47124EDF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1260D8B9" w:rsidP="099C1985" w:rsidRDefault="1260D8B9" w14:paraId="2CB10171" w14:textId="19B8FDED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Devolution Priority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Programme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funding &amp; election timing (Dec 4, 2025)</w:t>
      </w:r>
      <w:r w:rsidRPr="099C1985" w:rsidR="1C4DF321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: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 B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RAG: Red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(timing risk)</w:t>
      </w:r>
    </w:p>
    <w:p w:rsidR="1260D8B9" w:rsidP="099C1985" w:rsidRDefault="1260D8B9" w14:paraId="5DE0AF2F" w14:textId="4EBE3D52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>
        <w:br/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What changed: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Government announced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30‑year investment funds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(c.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£6 bn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total; c.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£200 m per year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) for the six fast‑tracked areas, and is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minded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to move inaugural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mayoral elections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to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May 2028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Sussex &amp; Brighton; Hampshire &amp; the Solent; Norfolk &amp; Suffolk; Greater Essex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while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Cumbria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Cheshire &amp; Warrington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remain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2027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  <w:r>
        <w:br/>
      </w:r>
    </w:p>
    <w:p w:rsidR="1260D8B9" w:rsidP="099C1985" w:rsidRDefault="1260D8B9" w14:paraId="29B8C931" w14:textId="3A700A5B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Action: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Operate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interim approvals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(Steering Board) with transition to mayoral sign‑off; update the political calendar; reflect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mandate windows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in SDS gateways. </w:t>
      </w:r>
      <w:r w:rsidRPr="099C1985" w:rsidR="1260D8B9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>(Delta‑Update created)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</w:p>
    <w:p w:rsidR="099C1985" w:rsidP="099C1985" w:rsidRDefault="099C1985" w14:paraId="6C5AB461" w14:textId="5593D0E8">
      <w:pPr>
        <w:pStyle w:val="ListParagraph"/>
        <w:spacing w:before="210" w:beforeAutospacing="off" w:after="210" w:afterAutospacing="off" w:line="300" w:lineRule="auto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1260D8B9" w:rsidP="099C1985" w:rsidRDefault="1260D8B9" w14:paraId="17CEB766" w14:textId="21821F0B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Ministerial written statement on DPP (Dec 4, 2025)</w:t>
      </w:r>
      <w:r w:rsidRPr="099C1985" w:rsidR="1EC85937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 B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RAG: Amber</w:t>
      </w:r>
      <w:r>
        <w:br/>
      </w:r>
    </w:p>
    <w:p w:rsidR="1260D8B9" w:rsidP="099C1985" w:rsidRDefault="1260D8B9" w14:paraId="0F90E3C7" w14:textId="2497A389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What changed: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Formal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written statement (HCWS1128)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confirms the funding approach and the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minded‑to delay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position for the four regions to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2028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Cheshire &amp; Warrington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Cumbria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to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2027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  <w:r>
        <w:br/>
      </w:r>
    </w:p>
    <w:p w:rsidR="1260D8B9" w:rsidP="099C1985" w:rsidRDefault="1260D8B9" w14:paraId="625D7B75" w14:textId="6F3901A9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Action: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Link statement for comms/FAQ; confirm local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LGR milestones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update RAID with political dependencies. </w:t>
      </w:r>
    </w:p>
    <w:p w:rsidR="099C1985" w:rsidP="099C1985" w:rsidRDefault="099C1985" w14:paraId="648BD2F7" w14:textId="40231591">
      <w:pPr>
        <w:pStyle w:val="ListParagraph"/>
        <w:spacing w:before="210" w:beforeAutospacing="off" w:after="210" w:afterAutospacing="off" w:line="300" w:lineRule="auto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</w:p>
    <w:p w:rsidR="1260D8B9" w:rsidP="099C1985" w:rsidRDefault="1260D8B9" w14:paraId="157A4C1A" w14:textId="538E25F5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Chief Planner newsletter (Dec 16, 2025)</w:t>
      </w:r>
      <w:r w:rsidRPr="099C1985" w:rsidR="700C2B6A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 A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RAG: Amber</w:t>
      </w:r>
      <w:r>
        <w:br/>
      </w:r>
    </w:p>
    <w:p w:rsidR="1260D8B9" w:rsidP="099C1985" w:rsidRDefault="1260D8B9" w14:paraId="370BABE3" w14:textId="60B3209E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What changed: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Confirms the NPPF consultation timeline (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→ 10 Mar 2026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), flags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immediate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changes to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viability PPG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, and notes the Planning &amp; Infrastructure Bill nearing RA (at that time).</w:t>
      </w:r>
    </w:p>
    <w:p w:rsidR="1260D8B9" w:rsidP="099C1985" w:rsidRDefault="1260D8B9" w14:paraId="170D928A" w14:textId="4873CF28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>
        <w:br/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Action: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Review viability assumptions; set a consultation response plan; communicate committee/delegation reform trajectory. </w:t>
      </w:r>
    </w:p>
    <w:p w:rsidR="099C1985" w:rsidP="099C1985" w:rsidRDefault="099C1985" w14:paraId="619B1EA4" w14:textId="7CB5EB9A">
      <w:pPr>
        <w:pStyle w:val="ListParagraph"/>
        <w:spacing w:before="210" w:beforeAutospacing="off" w:after="210" w:afterAutospacing="off" w:line="300" w:lineRule="auto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1260D8B9" w:rsidP="099C1985" w:rsidRDefault="1260D8B9" w14:paraId="697101B6" w14:textId="6AB6402D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English Devolution &amp; Community Empowerment Bill (progress to Lords; Jan 2026)</w:t>
      </w:r>
      <w:r w:rsidRPr="099C1985" w:rsidR="4E8D42EF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 A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RAG: Amber</w:t>
      </w:r>
      <w:r>
        <w:br/>
      </w:r>
    </w:p>
    <w:p w:rsidR="1260D8B9" w:rsidP="099C1985" w:rsidRDefault="1260D8B9" w14:paraId="779FF6D5" w14:textId="3ED5CE85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What changed: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EDCE Bill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has moved to the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Lords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with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Committee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dates starting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20 Jan 2026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(further sittings late Jan/Feb). GOV.UK guidance and explainers updated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3 Dec 2025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1260D8B9" w:rsidP="099C1985" w:rsidRDefault="1260D8B9" w14:paraId="5D4E8761" w14:textId="711A4204">
      <w:pPr>
        <w:pStyle w:val="ListParagraph"/>
        <w:spacing w:before="210" w:beforeAutospacing="off" w:after="210" w:afterAutospacing="off" w:line="300" w:lineRule="auto"/>
        <w:ind w:left="1440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>
        <w:br/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Action: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Track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amendments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on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Strategic Authorities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(incl.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FSA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variants), commencement 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provisions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interactions with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SDS duties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; log Delta‑Updates if governance design is affected.</w:t>
      </w:r>
    </w:p>
    <w:p w:rsidR="099C1985" w:rsidP="099C1985" w:rsidRDefault="099C1985" w14:paraId="67FF9A92" w14:textId="4C90B5C3">
      <w:pPr>
        <w:pStyle w:val="ListParagraph"/>
        <w:spacing w:before="210" w:beforeAutospacing="off" w:after="210" w:afterAutospacing="off" w:line="300" w:lineRule="auto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1260D8B9" w:rsidP="099C1985" w:rsidRDefault="1260D8B9" w14:paraId="7FE0F92F" w14:textId="78E65AFB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Written statement Planning Reform: Next Phase (Dec 16, 2025)</w:t>
      </w:r>
      <w:r w:rsidRPr="099C1985" w:rsidR="4407793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 A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RAG: Amber</w:t>
      </w:r>
    </w:p>
    <w:p w:rsidR="1260D8B9" w:rsidP="099C1985" w:rsidRDefault="1260D8B9" w14:paraId="1718125A" w14:textId="09676156">
      <w:pPr>
        <w:pStyle w:val="ListParagraph"/>
        <w:spacing w:before="210" w:beforeAutospacing="off" w:after="210" w:afterAutospacing="off" w:line="300" w:lineRule="auto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>
        <w:br/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What changed: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Sets the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1.5 m homes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target, links the NPPF consultation to the reform 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programme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the (then) Planning &amp; Infrastructure Bill.</w:t>
      </w:r>
      <w:r>
        <w:br/>
      </w:r>
    </w:p>
    <w:p w:rsidR="1260D8B9" w:rsidP="099C1985" w:rsidRDefault="1260D8B9" w14:paraId="151B8E94" w14:textId="794D0FF4">
      <w:pPr>
        <w:pStyle w:val="ListParagraph"/>
        <w:spacing w:before="210" w:beforeAutospacing="off" w:after="210" w:afterAutospacing="off" w:line="300" w:lineRule="auto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Action: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Align your benefits narrative and outcomes profile in the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PID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cite the statement in leadership briefs. </w:t>
      </w:r>
    </w:p>
    <w:p w:rsidR="1260D8B9" w:rsidP="099C1985" w:rsidRDefault="1260D8B9" w14:paraId="76D5DCF1" w14:textId="2D7F4A55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These entries show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what changed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why it matters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and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what your team needs to do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next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—keeping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the language plain‑English but preserving the technical points (e.g., station‑area density, plan‑making vs decision‑making split, SPB contingency, staged commencements, Lords Committee timeline).</w:t>
      </w:r>
    </w:p>
    <w:p w:rsidR="099C1985" w:rsidP="099C1985" w:rsidRDefault="099C1985" w14:paraId="73B3066A" w14:textId="0C9056A5">
      <w:pPr>
        <w:spacing w:before="0" w:beforeAutospacing="off" w:after="0" w:afterAutospacing="off" w:line="300" w:lineRule="auto"/>
        <w:rPr>
          <w:rFonts w:ascii="Arial Nova" w:hAnsi="Arial Nova" w:eastAsia="Arial Nova" w:cs="Arial Nova"/>
          <w:sz w:val="22"/>
          <w:szCs w:val="22"/>
        </w:rPr>
      </w:pPr>
    </w:p>
    <w:p w:rsidR="1260D8B9" w:rsidP="099C1985" w:rsidRDefault="1260D8B9" w14:paraId="0020A1FF" w14:textId="0B9D9B0D">
      <w:pPr>
        <w:pStyle w:val="Heading2"/>
        <w:spacing w:before="261" w:beforeAutospacing="off" w:after="261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</w:pP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  <w:t>How to use the integrated tracker</w:t>
      </w:r>
    </w:p>
    <w:p w:rsidR="1260D8B9" w:rsidP="099C1985" w:rsidRDefault="1260D8B9" w14:paraId="0C4D7AC9" w14:textId="5A0DB1A8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Log updates in </w:t>
      </w:r>
      <w:r w:rsidRPr="099C1985" w:rsidR="1260D8B9"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sz w:val="22"/>
          <w:szCs w:val="22"/>
          <w:lang w:val="en-US"/>
        </w:rPr>
        <w:t>All_Tracker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under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A/B/C streams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write a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clear summary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SDS impact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then set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RAG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an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action with owner + due date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1260D8B9" w:rsidP="099C1985" w:rsidRDefault="1260D8B9" w14:paraId="2E435C33" w14:textId="344B89A1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If an entry requires a change to the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Toolkit/Guide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mirror it in </w:t>
      </w:r>
      <w:r w:rsidRPr="099C1985" w:rsidR="1260D8B9"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sz w:val="22"/>
          <w:szCs w:val="22"/>
          <w:lang w:val="en-US"/>
        </w:rPr>
        <w:t>Delta_Update_Log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with the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Trigger (Tracker ID)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so the change can be owned/reviewed.</w:t>
      </w:r>
    </w:p>
    <w:p w:rsidR="1260D8B9" w:rsidP="099C1985" w:rsidRDefault="1260D8B9" w14:paraId="055633FF" w14:textId="2D3A23C4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Review the whole tracker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monthly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(or sooner if a </w:t>
      </w:r>
      <w:r w:rsidRPr="099C1985" w:rsidR="1260D8B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ministerial statement</w:t>
      </w:r>
      <w:r w:rsidRPr="099C1985" w:rsidR="1260D8B9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drops), and close Delta Updates on approval.</w:t>
      </w:r>
    </w:p>
    <w:p w:rsidR="099C1985" w:rsidP="099C1985" w:rsidRDefault="099C1985" w14:paraId="4E09D5E7" w14:textId="45E7354E">
      <w:pPr>
        <w:spacing w:before="0" w:beforeAutospacing="off" w:after="0" w:afterAutospacing="off" w:line="300" w:lineRule="auto"/>
        <w:rPr>
          <w:rFonts w:ascii="Arial Nova" w:hAnsi="Arial Nova" w:eastAsia="Arial Nova" w:cs="Arial Nova"/>
        </w:rPr>
      </w:pPr>
    </w:p>
    <w:p w:rsidR="22819DFC" w:rsidP="099C1985" w:rsidRDefault="22819DFC" w14:paraId="62FB6D3D" w14:textId="4663AF2F">
      <w:pPr>
        <w:pStyle w:val="Heading2"/>
        <w:spacing w:before="261" w:beforeAutospacing="off" w:after="261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</w:pP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  <w:t>Sources (Dec 2025 → Jan 2026)</w:t>
      </w:r>
    </w:p>
    <w:p w:rsidR="22819DFC" w:rsidP="099C1985" w:rsidRDefault="22819DFC" w14:paraId="35663701" w14:textId="5A852D48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National Planning Policy Framework (consultation) – 16 Dec 2025 → closes 10 Mar 2026</w:t>
      </w:r>
    </w:p>
    <w:p w:rsidR="22819DFC" w:rsidP="099C1985" w:rsidRDefault="22819DFC" w14:paraId="41A58FCE" w14:textId="24AC50D2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Landing page: </w:t>
      </w:r>
      <w:r w:rsidRPr="099C1985" w:rsidR="22819DFC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>National Planning Policy Framework: proposed reforms and other changes to the planning system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(open consultation).</w:t>
      </w:r>
      <w:r w:rsidRPr="099C1985" w:rsidR="2A2D7706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hyperlink r:id="R12c1a642be0f405d">
        <w:r w:rsidRPr="099C1985" w:rsidR="2A2D770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https://www.gov.uk/government/consultations/national-planning-policy-framework-proposed-reforms-and-other-changes-to-the-planning-system</w:t>
        </w:r>
      </w:hyperlink>
    </w:p>
    <w:p w:rsidR="099C1985" w:rsidP="099C1985" w:rsidRDefault="099C1985" w14:paraId="0D141A40" w14:textId="7FAF42BA">
      <w:pPr>
        <w:pStyle w:val="Normal"/>
        <w:spacing w:before="0" w:beforeAutospacing="off" w:after="0" w:afterAutospacing="off" w:line="300" w:lineRule="auto"/>
        <w:ind w:left="0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</w:p>
    <w:p w:rsidR="22819DFC" w:rsidP="099C1985" w:rsidRDefault="22819DFC" w14:paraId="4A6209AC" w14:textId="5190935A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Planning &amp; Infrastructure Act 2025 (Royal Assent: 18 Dec 2025)</w:t>
      </w:r>
    </w:p>
    <w:p w:rsidR="22819DFC" w:rsidP="099C1985" w:rsidRDefault="22819DFC" w14:paraId="311C44D5" w14:textId="3BBD01FA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Government press notice: </w:t>
      </w:r>
      <w:r w:rsidRPr="099C1985" w:rsidR="22819DFC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Landmark Planning and Infrastructure Bill </w:t>
      </w:r>
      <w:r w:rsidRPr="099C1985" w:rsidR="22819DFC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>becomes</w:t>
      </w:r>
      <w:r w:rsidRPr="099C1985" w:rsidR="22819DFC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law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(18 Dec 2025)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  <w:r w:rsidRPr="099C1985" w:rsidR="3E40CD5F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hyperlink r:id="R115eac473b9a4bf6">
        <w:r w:rsidRPr="099C1985" w:rsidR="3E40CD5F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https://www.gov.uk/government/news/landmark-planning-and-infrastructure-bill-becomes-law</w:t>
        </w:r>
      </w:hyperlink>
    </w:p>
    <w:p w:rsidR="099C1985" w:rsidP="099C1985" w:rsidRDefault="099C1985" w14:paraId="5F87D4D8" w14:textId="7A2EF568">
      <w:pPr>
        <w:pStyle w:val="Normal"/>
        <w:spacing w:before="0" w:beforeAutospacing="off" w:after="0" w:afterAutospacing="off" w:line="300" w:lineRule="auto"/>
        <w:ind w:left="0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</w:p>
    <w:p w:rsidR="22819DFC" w:rsidP="099C1985" w:rsidRDefault="22819DFC" w14:paraId="52E82609" w14:textId="28449474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Natural England: what RA means for NSIPs and SDS (18 Dec 2025)</w:t>
      </w:r>
    </w:p>
    <w:p w:rsidR="22819DFC" w:rsidP="099C1985" w:rsidRDefault="22819DFC" w14:paraId="051CEE36" w14:textId="00B62D09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NE’s blog by Marian Spain: </w:t>
      </w:r>
      <w:r w:rsidRPr="099C1985" w:rsidR="22819DFC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>Royal Assent: Natural England and the Planning and Infrastructure Act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(sets out a </w:t>
      </w: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streamlined NSIP process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references to </w:t>
      </w: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SDS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). </w:t>
      </w:r>
      <w:hyperlink r:id="Rc644221f14e441ee">
        <w:r w:rsidRPr="099C1985" w:rsidR="2F8D7331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https://naturalengland.blog.gov.uk/2025/12/18/royal-assent-natural-england-and-the-planning-and-infrastructure-act/</w:t>
        </w:r>
      </w:hyperlink>
    </w:p>
    <w:p w:rsidR="099C1985" w:rsidP="099C1985" w:rsidRDefault="099C1985" w14:paraId="11D61ADB" w14:textId="12DCDCF7">
      <w:pPr>
        <w:pStyle w:val="Normal"/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</w:p>
    <w:p w:rsidR="099C1985" w:rsidP="099C1985" w:rsidRDefault="099C1985" w14:paraId="795BA9FA" w14:textId="3F0F4CFB">
      <w:pPr>
        <w:pStyle w:val="Normal"/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</w:p>
    <w:p w:rsidR="22819DFC" w:rsidP="099C1985" w:rsidRDefault="22819DFC" w14:paraId="37E61980" w14:textId="13C99D37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Chief Planner newsletter (16 Dec 2025)</w:t>
      </w:r>
    </w:p>
    <w:p w:rsidR="22819DFC" w:rsidP="099C1985" w:rsidRDefault="22819DFC" w14:paraId="020EFF25" w14:textId="5A2023CC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99C1985" w:rsidR="22819DFC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22"/>
          <w:szCs w:val="22"/>
          <w:lang w:val="en-US"/>
        </w:rPr>
        <w:t>Planning update newsletter (16 December 2025)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(PDF)—confirms the NPPF consultation timing and notes 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viability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PPG changes. </w:t>
      </w:r>
      <w:hyperlink r:id="R5b1bb126f315405a">
        <w:r w:rsidRPr="099C1985" w:rsidR="4353BF05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https://assets.publishing.service.gov.uk/media/694294709273c48f554cf4eb/Chief_Planner_Newsletter_December_2025.pdf</w:t>
        </w:r>
      </w:hyperlink>
      <w:r w:rsidRPr="099C1985" w:rsidR="4353BF0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22819DFC" w:rsidP="099C1985" w:rsidRDefault="22819DFC" w14:paraId="0954AB12" w14:textId="126BB4FA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English Devolution &amp; Community Empowerment Bill (EDCE)</w:t>
      </w:r>
    </w:p>
    <w:p w:rsidR="22819DFC" w:rsidP="099C1985" w:rsidRDefault="22819DFC" w14:paraId="355AF6C1" w14:textId="00CF172C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UK Parliament bill page (status and Lords Committee dates). </w:t>
      </w:r>
      <w:hyperlink r:id="Rc659d38389b74d1d">
        <w:r w:rsidRPr="099C1985" w:rsidR="4DFFA180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https://bills.parliament.uk/bills/4002</w:t>
        </w:r>
      </w:hyperlink>
    </w:p>
    <w:p w:rsidR="22819DFC" w:rsidP="099C1985" w:rsidRDefault="22819DFC" w14:paraId="524113A4" w14:textId="5032EFDF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Devolution Priority </w:t>
      </w: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Programme</w:t>
      </w: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(funding + election timing) – 4 Dec 2025</w:t>
      </w:r>
    </w:p>
    <w:p w:rsidR="22819DFC" w:rsidP="099C1985" w:rsidRDefault="22819DFC" w14:paraId="6146E90A" w14:textId="47DA9A2B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Government press release announcing the </w:t>
      </w: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30‑year funding package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noting 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possible election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deferrals. </w:t>
      </w:r>
      <w:hyperlink r:id="R9dbab6860a294068">
        <w:r w:rsidRPr="099C1985" w:rsidR="0AD5102A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https://www.gov.uk/government/news/more-homes-and-improved-high-streets-for-new-mayoral-areas-through-30-year-funding-package</w:t>
        </w:r>
      </w:hyperlink>
    </w:p>
    <w:p w:rsidR="099C1985" w:rsidP="099C1985" w:rsidRDefault="099C1985" w14:paraId="6F490D24" w14:textId="62BB2B51">
      <w:pPr>
        <w:pStyle w:val="ListParagraph"/>
        <w:spacing w:before="0" w:beforeAutospacing="off" w:after="0" w:afterAutospacing="off" w:line="300" w:lineRule="auto"/>
        <w:ind w:left="720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</w:p>
    <w:p w:rsidR="22819DFC" w:rsidP="099C1985" w:rsidRDefault="22819DFC" w14:paraId="64252EE1" w14:textId="723C8C76">
      <w:pPr>
        <w:pStyle w:val="Normal"/>
        <w:spacing w:before="0" w:beforeAutospacing="off" w:after="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Written ministerial statement </w:t>
      </w: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HCWS1128</w:t>
      </w: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099C1985" w:rsidP="099C1985" w:rsidRDefault="099C1985" w14:paraId="4F122435" w14:textId="43473FA7">
      <w:pPr>
        <w:pStyle w:val="Normal"/>
        <w:spacing w:before="0" w:beforeAutospacing="off" w:after="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</w:pPr>
    </w:p>
    <w:p w:rsidR="3DA59FD3" w:rsidP="099C1985" w:rsidRDefault="3DA59FD3" w14:paraId="6757E071" w14:textId="17E792A7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99C1985" w:rsidR="3DA59FD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C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onfirming the </w:t>
      </w:r>
      <w:r w:rsidRPr="099C1985" w:rsidR="22819DF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2"/>
          <w:szCs w:val="22"/>
          <w:lang w:val="en-US"/>
        </w:rPr>
        <w:t>“minded‑to” delays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 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>inaugural</w:t>
      </w:r>
      <w:r w:rsidRPr="099C1985" w:rsidR="22819DF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mayoral elections in four areas.</w:t>
      </w:r>
      <w:r w:rsidRPr="099C1985" w:rsidR="288D9E1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hyperlink r:id="Rec5b3609ab1a4aa6">
        <w:r w:rsidRPr="099C1985" w:rsidR="28098F12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https://questions-statements.parliament.uk/written-statements/detail/2025-12-04/hcws1128</w:t>
        </w:r>
      </w:hyperlink>
    </w:p>
    <w:p w:rsidR="099C1985" w:rsidP="099C1985" w:rsidRDefault="099C1985" w14:paraId="653D8447" w14:textId="60D4D1A7">
      <w:pPr>
        <w:pStyle w:val="Normal"/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</w:p>
    <w:p w:rsidR="099C1985" w:rsidP="099C1985" w:rsidRDefault="099C1985" w14:paraId="10A8F955" w14:textId="17383761">
      <w:pPr>
        <w:pStyle w:val="Normal"/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</w:p>
    <w:p w:rsidR="0475B2AC" w:rsidP="099C1985" w:rsidRDefault="0475B2AC" w14:paraId="024BB6F4" w14:textId="5F30A9FC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99C1985" w:rsidR="0475B2AC">
        <w:rPr>
          <w:noProof w:val="0"/>
          <w:color w:val="auto"/>
          <w:lang w:val="en-US"/>
        </w:rPr>
        <w:t>Risk rules (RAG)</w:t>
      </w:r>
    </w:p>
    <w:p w:rsidR="099C1985" w:rsidP="099C1985" w:rsidRDefault="099C1985" w14:paraId="07D84E45" w14:textId="095DE605">
      <w:pPr>
        <w:pStyle w:val="Normal"/>
        <w:rPr>
          <w:noProof w:val="0"/>
          <w:lang w:val="en-US"/>
        </w:rPr>
      </w:pPr>
    </w:p>
    <w:p w:rsidR="0475B2AC" w:rsidP="099C1985" w:rsidRDefault="0475B2AC" w14:paraId="7F9AB842" w14:textId="361AB370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9C1985" w:rsidR="0475B2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RED: election unconfirmed or slip ≥12 months; </w:t>
      </w:r>
      <w:r w:rsidRPr="099C1985" w:rsidR="0475B2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reorganisation</w:t>
      </w:r>
      <w:r w:rsidRPr="099C1985" w:rsidR="0475B2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milestones unknown; material uncertainty in powers. AMBER: ‘minded‑to’ delay with shadow governance forming. GREEN: </w:t>
      </w:r>
      <w:r w:rsidRPr="099C1985" w:rsidR="0475B2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election</w:t>
      </w:r>
      <w:r w:rsidRPr="099C1985" w:rsidR="0475B2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date confirmed ≤</w:t>
      </w:r>
      <w:r w:rsidRPr="099C1985" w:rsidR="0475B2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18 months</w:t>
      </w:r>
      <w:r w:rsidRPr="099C1985" w:rsidR="0475B2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robust interim governance in place.</w:t>
      </w:r>
    </w:p>
    <w:p w:rsidR="099C1985" w:rsidP="099C1985" w:rsidRDefault="099C1985" w14:paraId="29275EA4" w14:textId="31BF1AC5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99C1985" w:rsidP="099C1985" w:rsidRDefault="099C1985" w14:paraId="77D238FF" w14:textId="66B83F0F">
      <w:pPr>
        <w:rPr>
          <w:rFonts w:ascii="Arial Nova" w:hAnsi="Arial Nova" w:eastAsia="Arial Nova" w:cs="Arial Nov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cd31ed3ec89492e"/>
      <w:footerReference w:type="default" r:id="Rd3d4969ad5f246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9C1985" w:rsidTr="099C1985" w14:paraId="75BDBCAC">
      <w:trPr>
        <w:trHeight w:val="300"/>
      </w:trPr>
      <w:tc>
        <w:tcPr>
          <w:tcW w:w="3120" w:type="dxa"/>
          <w:tcMar/>
        </w:tcPr>
        <w:p w:rsidR="099C1985" w:rsidP="099C1985" w:rsidRDefault="099C1985" w14:paraId="10783415" w14:textId="7CB55E3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99C1985" w:rsidP="099C1985" w:rsidRDefault="099C1985" w14:paraId="3F71F334" w14:textId="1D3917F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99C1985" w:rsidP="099C1985" w:rsidRDefault="099C1985" w14:paraId="53CB42F5" w14:textId="175009E2">
          <w:pPr>
            <w:pStyle w:val="Header"/>
            <w:bidi w:val="0"/>
            <w:ind w:right="-115"/>
            <w:jc w:val="right"/>
          </w:pPr>
        </w:p>
      </w:tc>
    </w:tr>
  </w:tbl>
  <w:p w:rsidR="099C1985" w:rsidP="099C1985" w:rsidRDefault="099C1985" w14:paraId="31D93FFA" w14:textId="4BFB114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9C1985" w:rsidTr="099C1985" w14:paraId="1F1B17C9">
      <w:trPr>
        <w:trHeight w:val="300"/>
      </w:trPr>
      <w:tc>
        <w:tcPr>
          <w:tcW w:w="3120" w:type="dxa"/>
          <w:tcMar/>
        </w:tcPr>
        <w:p w:rsidR="099C1985" w:rsidP="099C1985" w:rsidRDefault="099C1985" w14:paraId="474CEB2C" w14:textId="314C97D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99C1985" w:rsidP="099C1985" w:rsidRDefault="099C1985" w14:paraId="72DDF0CA" w14:textId="7158374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99C1985" w:rsidP="099C1985" w:rsidRDefault="099C1985" w14:paraId="1CC1DB8B" w14:textId="2A1FD39E">
          <w:pPr>
            <w:pStyle w:val="Header"/>
            <w:bidi w:val="0"/>
            <w:ind w:right="-115"/>
            <w:jc w:val="right"/>
          </w:pPr>
          <w:r w:rsidR="099C1985">
            <w:drawing>
              <wp:inline wp14:editId="0DC582B2" wp14:anchorId="4265B17B">
                <wp:extent cx="1847850" cy="971550"/>
                <wp:effectExtent l="0" t="0" r="0" b="0"/>
                <wp:docPr id="196365863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63658634" name="Picture 196365863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805473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9715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99C1985" w:rsidP="099C1985" w:rsidRDefault="099C1985" w14:paraId="4F625536" w14:textId="4C293DA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2eaca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14fdd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59cd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6a4b0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9db8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985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50ee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b6de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446e8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f61a2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20387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29E11C"/>
    <w:rsid w:val="00C28E6E"/>
    <w:rsid w:val="0475B2AC"/>
    <w:rsid w:val="04FEC788"/>
    <w:rsid w:val="099C1985"/>
    <w:rsid w:val="0AD5102A"/>
    <w:rsid w:val="0CE37ED8"/>
    <w:rsid w:val="0FD728AC"/>
    <w:rsid w:val="1069FA51"/>
    <w:rsid w:val="108C7ED7"/>
    <w:rsid w:val="1260D8B9"/>
    <w:rsid w:val="12679567"/>
    <w:rsid w:val="128304BF"/>
    <w:rsid w:val="14401A0B"/>
    <w:rsid w:val="1517C154"/>
    <w:rsid w:val="179A590E"/>
    <w:rsid w:val="17E80FD7"/>
    <w:rsid w:val="1B011F0C"/>
    <w:rsid w:val="1C4DF321"/>
    <w:rsid w:val="1EC85937"/>
    <w:rsid w:val="2136AE4E"/>
    <w:rsid w:val="22819DFC"/>
    <w:rsid w:val="22E87092"/>
    <w:rsid w:val="22F96AF7"/>
    <w:rsid w:val="27275BDF"/>
    <w:rsid w:val="28098F12"/>
    <w:rsid w:val="288D9E15"/>
    <w:rsid w:val="28AFDCE3"/>
    <w:rsid w:val="2A2D7706"/>
    <w:rsid w:val="2B29E11C"/>
    <w:rsid w:val="2F8D7331"/>
    <w:rsid w:val="3AF142DF"/>
    <w:rsid w:val="3BE1F401"/>
    <w:rsid w:val="3DA59FD3"/>
    <w:rsid w:val="3DB6CB80"/>
    <w:rsid w:val="3E40CD5F"/>
    <w:rsid w:val="409E1A69"/>
    <w:rsid w:val="41A4DACA"/>
    <w:rsid w:val="42CE16BD"/>
    <w:rsid w:val="430217EA"/>
    <w:rsid w:val="4353BF05"/>
    <w:rsid w:val="44077939"/>
    <w:rsid w:val="46116121"/>
    <w:rsid w:val="46B89AF6"/>
    <w:rsid w:val="4739926A"/>
    <w:rsid w:val="47BF4BCF"/>
    <w:rsid w:val="4B72529A"/>
    <w:rsid w:val="4C5D293B"/>
    <w:rsid w:val="4DFFA180"/>
    <w:rsid w:val="4E87183B"/>
    <w:rsid w:val="4E8D42EF"/>
    <w:rsid w:val="54033FE5"/>
    <w:rsid w:val="5941C20E"/>
    <w:rsid w:val="5AB26081"/>
    <w:rsid w:val="5D402E64"/>
    <w:rsid w:val="5EA84BEC"/>
    <w:rsid w:val="637818AD"/>
    <w:rsid w:val="63D5EEC7"/>
    <w:rsid w:val="65DDC186"/>
    <w:rsid w:val="695DA3F5"/>
    <w:rsid w:val="6A994905"/>
    <w:rsid w:val="6C400B69"/>
    <w:rsid w:val="6CFC3A78"/>
    <w:rsid w:val="6E65BB2C"/>
    <w:rsid w:val="700C2B6A"/>
    <w:rsid w:val="7221160D"/>
    <w:rsid w:val="7AA4C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33D4"/>
  <w15:chartTrackingRefBased/>
  <w15:docId w15:val="{8D060370-5552-4677-89FF-C29B4CDAC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99C198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99C198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99C1985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99C19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99C19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government/news/more-homes-and-improved-high-streets-for-new-mayoral-areas-through-30-year-funding-package" TargetMode="External" Id="R9dbab6860a294068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assets.publishing.service.gov.uk/media/694294709273c48f554cf4eb/Chief_Planner_Newsletter_December_2025.pdf" TargetMode="External" Id="R5b1bb126f315405a" /><Relationship Type="http://schemas.openxmlformats.org/officeDocument/2006/relationships/hyperlink" Target="https://questions-statements.parliament.uk/written-statements/detail/2025-12-04/hcws1128" TargetMode="External" Id="Rec5b3609ab1a4aa6" /><Relationship Type="http://schemas.openxmlformats.org/officeDocument/2006/relationships/header" Target="header.xml" Id="Rbcd31ed3ec89492e" /><Relationship Type="http://schemas.openxmlformats.org/officeDocument/2006/relationships/numbering" Target="numbering.xml" Id="Rce904f99d62b4a9b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bills.parliament.uk/bills/4002" TargetMode="External" Id="Rc659d38389b74d1d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oter" Target="footer.xml" Id="Rd3d4969ad5f2469a" /><Relationship Type="http://schemas.openxmlformats.org/officeDocument/2006/relationships/hyperlink" Target="https://www.gov.uk/government/consultations/national-planning-policy-framework-proposed-reforms-and-other-changes-to-the-planning-system" TargetMode="External" Id="R12c1a642be0f405d" /><Relationship Type="http://schemas.openxmlformats.org/officeDocument/2006/relationships/hyperlink" Target="https://www.gov.uk/government/news/landmark-planning-and-infrastructure-bill-becomes-law" TargetMode="External" Id="R115eac473b9a4bf6" /><Relationship Type="http://schemas.openxmlformats.org/officeDocument/2006/relationships/fontTable" Target="fontTable.xml" Id="rId4" /><Relationship Type="http://schemas.openxmlformats.org/officeDocument/2006/relationships/hyperlink" Target="https://naturalengland.blog.gov.uk/2025/12/18/royal-assent-natural-england-and-the-planning-and-infrastructure-act/" TargetMode="External" Id="Rc644221f14e441e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180547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263DCB11-2B50-4431-A8FF-2EFC5148EEE5}"/>
</file>

<file path=customXml/itemProps2.xml><?xml version="1.0" encoding="utf-8"?>
<ds:datastoreItem xmlns:ds="http://schemas.openxmlformats.org/officeDocument/2006/customXml" ds:itemID="{489D7960-8BE4-492F-B86B-5644D838CE40}"/>
</file>

<file path=customXml/itemProps3.xml><?xml version="1.0" encoding="utf-8"?>
<ds:datastoreItem xmlns:ds="http://schemas.openxmlformats.org/officeDocument/2006/customXml" ds:itemID="{FE3CD742-9A70-4EB0-99AC-3D8F53D1EE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Frainer</dc:creator>
  <cp:keywords/>
  <dc:description/>
  <cp:lastModifiedBy>Liz Hobden</cp:lastModifiedBy>
  <dcterms:created xsi:type="dcterms:W3CDTF">2026-01-20T10:35:47Z</dcterms:created>
  <dcterms:modified xsi:type="dcterms:W3CDTF">2026-01-28T15:05:49Z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