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5E6A6C4B" wp14:paraId="368A2B2E" wp14:textId="624267AE">
      <w:pPr>
        <w:pStyle w:val="Title"/>
        <w:bidi w:val="0"/>
        <w:rPr>
          <w:rFonts w:ascii="Arial Nova" w:hAnsi="Arial Nova" w:eastAsia="Arial Nova" w:cs="Arial Nova" w:asciiTheme="minorAscii" w:hAnsiTheme="minorAscii" w:eastAsiaTheme="minorAscii" w:cstheme="minorAscii"/>
          <w:noProof w:val="0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noProof w:val="0"/>
          <w:lang w:val="en-US"/>
        </w:rPr>
        <w:t>Appendix C Readiness Toolkit Cross Reference Guide and Glossary</w:t>
      </w:r>
    </w:p>
    <w:p xmlns:wp14="http://schemas.microsoft.com/office/word/2010/wordml" w:rsidP="5E6A6C4B" wp14:paraId="55689A4F" wp14:textId="7B58B3F3">
      <w:pPr>
        <w:pStyle w:val="Normal"/>
        <w:pBdr>
          <w:bottom w:val="single" w:color="000000" w:sz="6" w:space="1"/>
        </w:pBdr>
        <w:bidi w:val="0"/>
        <w:rPr>
          <w:rFonts w:ascii="Arial Nova" w:hAnsi="Arial Nova" w:eastAsia="Arial Nova" w:cs="Arial Nova" w:asciiTheme="minorAscii" w:hAnsiTheme="minorAscii" w:eastAsiaTheme="minorAscii" w:cstheme="minorAscii"/>
          <w:noProof w:val="0"/>
          <w:lang w:val="en-US"/>
        </w:rPr>
      </w:pPr>
    </w:p>
    <w:p xmlns:wp14="http://schemas.microsoft.com/office/word/2010/wordml" w:rsidP="5E6A6C4B" wp14:paraId="00BF12A9" wp14:textId="25B745D0">
      <w:pPr>
        <w:pStyle w:val="Normal"/>
        <w:bidi w:val="0"/>
        <w:rPr>
          <w:rFonts w:ascii="Arial Nova" w:hAnsi="Arial Nova" w:eastAsia="Arial Nova" w:cs="Arial Nova" w:asciiTheme="minorAscii" w:hAnsiTheme="minorAscii" w:eastAsiaTheme="minorAscii" w:cstheme="minorAscii"/>
          <w:noProof w:val="0"/>
          <w:lang w:val="en-US"/>
        </w:rPr>
      </w:pPr>
    </w:p>
    <w:p xmlns:wp14="http://schemas.microsoft.com/office/word/2010/wordml" w:rsidP="5E6A6C4B" wp14:paraId="0E4624F7" wp14:textId="78D18CB4">
      <w:pPr>
        <w:pStyle w:val="Heading1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31"/>
          <w:szCs w:val="31"/>
          <w:lang w:val="en-US"/>
        </w:rPr>
      </w:pPr>
      <w:r w:rsidRPr="5E6A6C4B" w:rsidR="76FE47EC">
        <w:rPr>
          <w:noProof w:val="0"/>
          <w:lang w:val="en-US"/>
        </w:rPr>
        <w:t>A) Cross‑reference table</w:t>
      </w:r>
    </w:p>
    <w:p xmlns:wp14="http://schemas.microsoft.com/office/word/2010/wordml" w:rsidP="5E6A6C4B" wp14:paraId="4375C5DD" wp14:textId="0B681F2C">
      <w:pPr>
        <w:pStyle w:val="Normal"/>
        <w:rPr>
          <w:noProof w:val="0"/>
          <w:lang w:val="en-US"/>
        </w:rPr>
      </w:pPr>
    </w:p>
    <w:tbl>
      <w:tblPr>
        <w:tblStyle w:val="TableNormal"/>
        <w:bidiVisual w:val="0"/>
        <w:tblW w:w="936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100"/>
        <w:gridCol w:w="2100"/>
        <w:gridCol w:w="2448"/>
        <w:gridCol w:w="2712"/>
      </w:tblGrid>
      <w:tr w:rsidR="5E6A6C4B" w:rsidTr="636A19DD" w14:paraId="59A4A674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B1BD5CE" w14:textId="25D3408E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Tool (no. &amp; name)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05F2DDB" w:rsidP="16F1E92E" w:rsidRDefault="505F2DDB" w14:paraId="363861F7" w14:textId="3FE788B1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505F2DD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Theme </w:t>
            </w:r>
          </w:p>
          <w:p w:rsidR="76CC05DF" w:rsidP="16F1E92E" w:rsidRDefault="76CC05DF" w14:paraId="434A6E04" w14:textId="5A95CA43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76CC05DF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  <w:r w:rsidRPr="16F1E92E" w:rsidR="09CF8342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16F1E92E" w:rsidR="7D688A35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Fou</w:t>
            </w:r>
            <w:r w:rsidRPr="16F1E92E" w:rsidR="7D688A35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ndations Project Management</w:t>
            </w:r>
          </w:p>
          <w:p w:rsidR="7944456F" w:rsidP="16F1E92E" w:rsidRDefault="7944456F" w14:paraId="15C640AB" w14:textId="3F6DD3E2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7944456F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</w:t>
            </w:r>
            <w:r w:rsidRPr="16F1E92E" w:rsidR="7D688A35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Digital, </w:t>
            </w:r>
            <w:r w:rsidRPr="16F1E92E" w:rsidR="7D688A35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Data and AI Capability Building</w:t>
            </w:r>
          </w:p>
        </w:tc>
        <w:tc>
          <w:tcPr>
            <w:tcW w:w="2448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5698DC08" w14:textId="5FE70DA1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What the tool does</w:t>
            </w:r>
          </w:p>
        </w:tc>
        <w:tc>
          <w:tcPr>
            <w:tcW w:w="2712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395E4F20" w14:textId="09072A5F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Where the Readiness Guide links to it</w:t>
            </w:r>
          </w:p>
        </w:tc>
      </w:tr>
      <w:tr w:rsidR="5E6A6C4B" w:rsidTr="636A19DD" w14:paraId="3D41C09B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7FCE41C6" w14:textId="3EF1E6CA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3.1 Maturity Matrix (Excel)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3F16D3E7" w:rsidP="16F1E92E" w:rsidRDefault="3F16D3E7" w14:paraId="1EC0C935" w14:textId="33C90274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3F16D3E7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  <w:r w:rsidRPr="16F1E92E" w:rsidR="1AFE0E66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</w:t>
            </w:r>
            <w:r w:rsidRPr="16F1E92E" w:rsidR="1AFE0E66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27D5E060" w14:textId="1E8AD3DA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Capability scoring across Governance, Evidence &amp; Data, Digital &amp; Innovation, Engagement, Delivery &amp; Resourcing, Monitoring 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79F90407" w14:textId="0CAC36D7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Theme F – Skills &amp; Resources (skills audit, capacity roadmap, pooled models, training); Theme E – Digital &amp; Innovation (use maturity models for data stewardship, GIS/data engineering, accessibility/content, delivery).</w:t>
            </w:r>
          </w:p>
        </w:tc>
      </w:tr>
      <w:tr w:rsidR="5E6A6C4B" w:rsidTr="636A19DD" w14:paraId="2A68F670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046D479D" w14:textId="1DD93AA6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3.2 Initiation Pack (Word)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61421DDF" w:rsidP="16F1E92E" w:rsidRDefault="61421DDF" w14:paraId="6E6BF392" w14:textId="6E77576F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61421DDF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9F96326" w14:textId="7D28B9A6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Kick‑off 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pack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PID: agenda, roles &amp; responsibilities, RACI, master Gantt, comms outline, acceptance criteria.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16F1E92E" w:rsidRDefault="5E6A6C4B" w14:paraId="0EE837D4" w14:textId="7EBCA909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32BB7B02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Theme A – Role Assessment (explicitly references Initiation Pack for early stakeholder mapping/working arrangements); Theme G – Project Delivery Plan (PM process from the start; timetable, milestones, budget; </w:t>
            </w:r>
            <w:r w:rsidRPr="16F1E92E" w:rsidR="32BB7B02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integrate</w:t>
            </w:r>
            <w:r w:rsidRPr="16F1E92E" w:rsidR="32BB7B02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comms and evidence plans).</w:t>
            </w:r>
            <w:r w:rsidRPr="16F1E92E" w:rsidR="73BC78E9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Theme G Project Delivery Plan</w:t>
            </w:r>
          </w:p>
        </w:tc>
      </w:tr>
      <w:tr w:rsidR="5E6A6C4B" w:rsidTr="636A19DD" w14:paraId="65F5EBF6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636A19DD" w:rsidRDefault="5E6A6C4B" w14:paraId="4A9A1E5A" w14:textId="01517241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36A19DD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3.3 Governance</w:t>
            </w:r>
            <w:r w:rsidRPr="636A19DD" w:rsidR="32F69759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Tool and User Guide:</w:t>
            </w:r>
            <w:r w:rsidRPr="636A19DD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36A19DD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</w:t>
            </w:r>
            <w:r w:rsidRPr="636A19DD" w:rsidR="3C48E0DD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erms of Reference</w:t>
            </w:r>
            <w:r w:rsidRPr="636A19DD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Pack (Word)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20574B4E" w:rsidP="16F1E92E" w:rsidRDefault="20574B4E" w14:paraId="4217F673" w14:textId="084D48C8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20574B4E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7CCD724E" w14:textId="624C6F38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ToR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template defining decision‑making structures, gateways, quorum, escalation, approval logs.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03F6293E" w14:textId="28F84107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Theme C – Governance &amp; Working Arrangements (set up 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ToR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gateways early, including interim 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ToR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); Theme G – Project Delivery Plan (align working arrangements and statutory decisions).</w:t>
            </w:r>
          </w:p>
        </w:tc>
      </w:tr>
      <w:tr w:rsidR="5E6A6C4B" w:rsidTr="636A19DD" w14:paraId="50139C17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1F4FAA13" w14:textId="10756FD5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3.4 Evidence Commissioning Suite (Word)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14B1DF8C" w:rsidP="16F1E92E" w:rsidRDefault="14B1DF8C" w14:paraId="5FAD2B8C" w14:textId="1B660AA2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14B1DF8C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58DB397" w14:textId="42BEF122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Templates for briefs, standards/licensing/interoperability checklist, QA, cross‑boundary sharing/MOUs, timelines, risks.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5B0D3FD1" w14:textId="776BF969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Theme B – Evidence &amp; Data Audit (audit, gaps, joint evidence, engage NESO/NISTA, manage evidence pipeline/MOUs); Theme G – Project Delivery Plan (Evidence Strategy; inter‑agency agreements/shared platforms).</w:t>
            </w:r>
          </w:p>
        </w:tc>
      </w:tr>
      <w:tr w:rsidR="5E6A6C4B" w:rsidTr="636A19DD" w14:paraId="0AFA45BE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4DE7AB31" w14:textId="0196DF28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3.5 Engagement Pack (Word)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FDD6FB3" w:rsidP="16F1E92E" w:rsidRDefault="5FDD6FB3" w14:paraId="68A3F5F4" w14:textId="1D130B34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5FDD6FB3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A351AA5" w14:textId="0148907D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Stakeholder map, outreach patterns (incl. seldom‑heard), plain‑English FAQ, 60–90s explainer script/storyboard.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FBF54DB" w14:textId="5887D832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Theme D – Engagement Strategy (early engagement, involve right stakeholders, innovative practice, narrative, member engagement, comms plan with glossary/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tone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); Theme A – Role Assessment (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identify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key stakeholders; SDS added‑value narrative).</w:t>
            </w:r>
          </w:p>
        </w:tc>
      </w:tr>
      <w:tr w:rsidR="5E6A6C4B" w:rsidTr="636A19DD" w14:paraId="42E144D0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25B7624" w14:textId="0DC7E7FA">
            <w:pPr>
              <w:bidi w:val="0"/>
              <w:spacing w:before="0" w:beforeAutospacing="off" w:after="0" w:afterAutospacing="off" w:line="300" w:lineRule="auto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3.6 </w:t>
            </w:r>
            <w:r w:rsidRPr="5E6A6C4B" w:rsidR="46E9E10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noProof w:val="0"/>
                <w:sz w:val="21"/>
                <w:szCs w:val="21"/>
                <w:lang w:val="en-US"/>
              </w:rPr>
              <w:t>SDS Monitoring Briefing Note (Word) - Updated from Interim IIA Builder</w:t>
            </w:r>
          </w:p>
          <w:p w:rsidR="5E6A6C4B" w:rsidP="5E6A6C4B" w:rsidRDefault="5E6A6C4B" w14:paraId="39BDA27E" w14:textId="6E41A854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41017388" w:rsidP="16F1E92E" w:rsidRDefault="41017388" w14:paraId="53687A56" w14:textId="7DA89F8C">
            <w:pPr>
              <w:pStyle w:val="Normal"/>
              <w:bidi w:val="0"/>
              <w:spacing w:line="300" w:lineRule="auto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41017388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46E9E10B" w:rsidP="5E6A6C4B" w:rsidRDefault="46E9E10B" w14:paraId="7CE3952C" w14:textId="59CD8FE8">
            <w:pPr>
              <w:bidi w:val="0"/>
              <w:spacing w:before="0" w:beforeAutospacing="off" w:after="0" w:afterAutospacing="off" w:line="300" w:lineRule="auto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</w:pP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A concise briefing note setting out an interim approach to SDS monitoring. Pending clear national directions on SDS monitoring, it aligns to current legislation and practice via 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sz w:val="21"/>
                <w:szCs w:val="21"/>
                <w:lang w:val="en-US"/>
              </w:rPr>
              <w:t>SEA/SA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monitoring frameworks and reporting 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>conventions, and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will be updated when SDS‑specific guidance is published.</w:t>
            </w:r>
          </w:p>
          <w:p w:rsidR="5E6A6C4B" w:rsidP="5E6A6C4B" w:rsidRDefault="5E6A6C4B" w14:paraId="535A0ECA" w14:textId="45B05D03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46E9E10B" w:rsidP="5E6A6C4B" w:rsidRDefault="46E9E10B" w14:paraId="21BB5108" w14:textId="2468548D">
            <w:pPr>
              <w:pStyle w:val="Normal"/>
              <w:bidi w:val="0"/>
              <w:spacing w:before="0" w:beforeAutospacing="off" w:after="0" w:afterAutospacing="off" w:line="300" w:lineRule="auto"/>
              <w:ind w:left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</w:pP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>Theme G – Project Delivery Plan: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set out delivery and 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>reporting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arrangements; manage uncertainty via an interim approach. 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>Theme B – Evidence &amp; Data Audit: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>maintain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an 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>evidence audit trail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and plan 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>SA/SEA</w:t>
            </w:r>
            <w:r w:rsidRPr="5E6A6C4B" w:rsidR="46E9E10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US"/>
              </w:rPr>
              <w:t xml:space="preserve"> from the start.</w:t>
            </w:r>
          </w:p>
          <w:p w:rsidR="5E6A6C4B" w:rsidP="5E6A6C4B" w:rsidRDefault="5E6A6C4B" w14:paraId="72E2FB9E" w14:textId="3361257C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5E6A6C4B" w:rsidTr="636A19DD" w14:paraId="4296C8F5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A251315" w14:textId="7DD505C0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3.7 SDS Copilot (Q&amp;A pattern) (Word)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68D6F6E1" w:rsidP="16F1E92E" w:rsidRDefault="68D6F6E1" w14:paraId="11A0088D" w14:textId="25EBBA6A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68D6F6E1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4C9F32E1" w14:textId="6E75A476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Safe AI usage pattern with citations, ‘can’t answer’ fallback, audit trail, zero‑PII guardrails, DPIA checklist.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7CFEBE91" w14:textId="3924AD4C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Theme E – Digital &amp; Innovation (adopt safe AI with human‑in‑the‑loop, DPIA, transparency); Theme B – Data foundations (AI as assistant for 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summarising</w:t>
            </w: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/drafting FAQs).</w:t>
            </w:r>
          </w:p>
        </w:tc>
      </w:tr>
      <w:tr w:rsidR="5E6A6C4B" w:rsidTr="636A19DD" w14:paraId="2839FEB1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433AC848" w14:textId="5963B044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3.8 Delta‑Update Register (Excel)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4E1D9AF0" w:rsidP="16F1E92E" w:rsidRDefault="4E1D9AF0" w14:paraId="14F7901E" w14:textId="2860665B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4E1D9AF0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220550BF" w14:textId="3174C2A4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Structured change‑log for policy/legislation; batch minor updates; flag material changes.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16F1E92E" w:rsidRDefault="5E6A6C4B" w14:paraId="3EDE86F2" w14:textId="1630BF50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32BB7B02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Theme A – Role Assessment (track emerging guidance/regulations); Theme G – Risk Assessment Strategy (plan for legislative uncertainty).</w:t>
            </w:r>
            <w:r w:rsidRPr="16F1E92E" w:rsidR="795098E7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Theme E </w:t>
            </w:r>
          </w:p>
        </w:tc>
      </w:tr>
      <w:tr w:rsidR="5E6A6C4B" w:rsidTr="636A19DD" w14:paraId="3D885EAF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391E4466" w14:textId="56398B9E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3.9 Legislative Radar (Word)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27D2EC06" w:rsidP="16F1E92E" w:rsidRDefault="27D2EC06" w14:paraId="092000B4" w14:textId="49AB1B07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27D2EC06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60F8055" w14:textId="386777CE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Monitoring guide &amp; cadence for national policy/legislation; feeds the Delta‑Update process.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16F1E92E" w:rsidRDefault="5E6A6C4B" w14:paraId="6CE5F067" w14:textId="6CC3D641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6F1E92E" w:rsidR="32BB7B02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Theme A – Role Assessment (account for nationally prescribed content and track emerging guidance); Theme G – Project Delivery Plan / Risk (</w:t>
            </w:r>
            <w:r w:rsidRPr="16F1E92E" w:rsidR="32BB7B02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monitor</w:t>
            </w:r>
            <w:r w:rsidRPr="16F1E92E" w:rsidR="32BB7B02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political/legislative timing risks).</w:t>
            </w:r>
            <w:r w:rsidRPr="16F1E92E" w:rsidR="7BD7B27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Theme E</w:t>
            </w:r>
          </w:p>
        </w:tc>
      </w:tr>
      <w:tr w:rsidR="5E6A6C4B" w:rsidTr="636A19DD" w14:paraId="2961BDD8">
        <w:trPr>
          <w:trHeight w:val="300"/>
        </w:trPr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26EE4A70" w14:textId="77628C11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3.10 RAID Log (Excel)</w:t>
            </w:r>
          </w:p>
        </w:tc>
        <w:tc>
          <w:tcPr>
            <w:tcW w:w="2100" w:type="dxa"/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0767F1CF" w:rsidP="16F1E92E" w:rsidRDefault="0767F1CF" w14:paraId="1C450E58" w14:textId="10CC6B2D">
            <w:pPr>
              <w:pStyle w:val="Normal"/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6F1E92E" w:rsidR="0767F1CF">
              <w:rPr>
                <w:rFonts w:ascii="Arial Nova" w:hAnsi="Arial Nova" w:eastAsia="Arial Nova" w:cs="Arial Nova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</w:p>
        </w:tc>
        <w:tc>
          <w:tcPr>
            <w:tcW w:w="2448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18D895F7" w14:textId="2DB03722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Consolidated Risks, Assumptions, Issues, Dependencies with probability/impact/mitigations/owners.</w:t>
            </w:r>
          </w:p>
        </w:tc>
        <w:tc>
          <w:tcPr>
            <w:tcW w:w="2712" w:type="dxa"/>
            <w:tcMar>
              <w:left w:w="105" w:type="dxa"/>
              <w:right w:w="105" w:type="dxa"/>
            </w:tcMar>
            <w:vAlign w:val="top"/>
          </w:tcPr>
          <w:p w:rsidR="5E6A6C4B" w:rsidP="5E6A6C4B" w:rsidRDefault="5E6A6C4B" w14:paraId="657AAD05" w14:textId="6CA12822">
            <w:pPr>
              <w:bidi w:val="0"/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E6A6C4B" w:rsidR="5E6A6C4B">
              <w:rPr>
                <w:rFonts w:ascii="Arial Nova" w:hAnsi="Arial Nova" w:eastAsia="Arial Nova" w:cs="Arial Nov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Theme G – Project Delivery Plan (Risk Assessment Strategy: LGR/devolution impacts, legislative uncertainty, timetable alignment, election timing).</w:t>
            </w:r>
          </w:p>
        </w:tc>
      </w:tr>
    </w:tbl>
    <w:p xmlns:wp14="http://schemas.microsoft.com/office/word/2010/wordml" w:rsidP="5E6A6C4B" wp14:paraId="6523FC5B" wp14:textId="1641C094">
      <w:p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</w:rPr>
      </w:pPr>
    </w:p>
    <w:p xmlns:wp14="http://schemas.microsoft.com/office/word/2010/wordml" w:rsidP="1DEF0B2E" wp14:paraId="01848857" wp14:textId="5DEBA30C">
      <w:pPr>
        <w:pStyle w:val="Heading1"/>
        <w:bidi w:val="0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31"/>
          <w:szCs w:val="31"/>
          <w:lang w:val="en-US"/>
        </w:rPr>
      </w:pPr>
      <w:r w:rsidRPr="16F1E92E" w:rsidR="76FE47EC">
        <w:rPr>
          <w:noProof w:val="0"/>
          <w:lang w:val="en-US"/>
        </w:rPr>
        <w:t xml:space="preserve">B) </w:t>
      </w:r>
      <w:commentRangeStart w:id="493655847"/>
      <w:commentRangeStart w:id="1546865071"/>
      <w:r w:rsidRPr="16F1E92E" w:rsidR="76FE47EC">
        <w:rPr>
          <w:noProof w:val="0"/>
          <w:lang w:val="en-US"/>
        </w:rPr>
        <w:t xml:space="preserve">Glossary of Planning &amp; Digital Terms </w:t>
      </w:r>
      <w:commentRangeEnd w:id="493655847"/>
      <w:r>
        <w:rPr>
          <w:rStyle w:val="CommentReference"/>
        </w:rPr>
        <w:commentReference w:id="493655847"/>
      </w:r>
      <w:commentRangeEnd w:id="1546865071"/>
      <w:r>
        <w:rPr>
          <w:rStyle w:val="CommentReference"/>
        </w:rPr>
        <w:commentReference w:id="1546865071"/>
      </w:r>
    </w:p>
    <w:p xmlns:wp14="http://schemas.microsoft.com/office/word/2010/wordml" w:rsidP="5E6A6C4B" wp14:paraId="3FF83CDD" wp14:textId="32C177A8">
      <w:pPr>
        <w:bidi w:val="0"/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Scope: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Definitions reflect how terms are used across the Readiness Guide and the Toolkit</w:t>
      </w:r>
      <w:r w:rsidRPr="5E6A6C4B" w:rsidR="6D40529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5E6A6C4B" wp14:paraId="40A13FA3" wp14:textId="34B1101F">
      <w:pPr>
        <w:pStyle w:val="Heading2"/>
        <w:bidi w:val="0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E6A6C4B" w:rsidR="76FE47EC">
        <w:rPr>
          <w:noProof w:val="0"/>
          <w:lang w:val="en-US"/>
        </w:rPr>
        <w:t>Planning &amp; Governance</w:t>
      </w:r>
    </w:p>
    <w:p xmlns:wp14="http://schemas.microsoft.com/office/word/2010/wordml" w:rsidP="5E6A6C4B" wp14:paraId="0E9DD7DA" wp14:textId="367A53FC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SDS (Spatial Development Strategy):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statutory, sub‑regional plan forming part of the Development Plan,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setting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vision‑led framework for the broad location of development and infrastructure over the long term.</w:t>
      </w:r>
    </w:p>
    <w:p xmlns:wp14="http://schemas.microsoft.com/office/word/2010/wordml" w:rsidP="5E6A6C4B" wp14:paraId="55CA8EB8" wp14:textId="7FBAFE0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SPA (Strategic Planning Authority):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accountable body preparing the SDS—may be a combined authority, county council, or strategic planning board, depending on local governance arrangements.</w:t>
      </w:r>
    </w:p>
    <w:p xmlns:wp14="http://schemas.microsoft.com/office/word/2010/wordml" w:rsidP="5E6A6C4B" wp14:paraId="1B13F737" wp14:textId="077E9EDE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Development Plan: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legal suite of plans used for decision‑making (e.g., SDS, Local Plans,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Neighbourhood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Plans, Supplementary Plans).</w:t>
      </w:r>
    </w:p>
    <w:p xmlns:wp14="http://schemas.microsoft.com/office/word/2010/wordml" w:rsidP="5E6A6C4B" wp14:paraId="6B6195DB" wp14:textId="5EBF154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Local Plan: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district/borough/city‑level statutory plan; SDS and Local Plans must align as parts of the Development Plan.</w:t>
      </w:r>
    </w:p>
    <w:p xmlns:wp14="http://schemas.microsoft.com/office/word/2010/wordml" w:rsidP="5E6A6C4B" wp14:paraId="36316486" wp14:textId="0FECA6F9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NPPF (National Planning Policy Framework):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National policy setting out plan‑making requirements against which SDS/Local Plans are prepared and examined.</w:t>
      </w:r>
    </w:p>
    <w:p xmlns:wp14="http://schemas.microsoft.com/office/word/2010/wordml" w:rsidP="5E6A6C4B" wp14:paraId="4862982D" wp14:textId="41C53A0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Role Assessment: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Early scoping of the SDS purpose, scope, and relationships to other plans/strategies, used to frame evidence and engagement.</w:t>
      </w:r>
    </w:p>
    <w:p xmlns:wp14="http://schemas.microsoft.com/office/word/2010/wordml" w:rsidP="16F1E92E" wp14:paraId="2E61658B" wp14:textId="1BDEB054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6F1E92E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Terms of Reference (</w:t>
      </w:r>
      <w:r w:rsidRPr="16F1E92E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ToR</w:t>
      </w:r>
      <w:r w:rsidRPr="16F1E92E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):</w:t>
      </w:r>
      <w:r w:rsidRPr="16F1E92E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Document describing membership, roles, decision gateways, quorum, escalation routes, and approval mechanisms for SDS governance.</w:t>
      </w:r>
    </w:p>
    <w:p w:rsidR="0D6854BD" w:rsidP="16F1E92E" w:rsidRDefault="0D6854BD" w14:paraId="7A08BE4F" w14:textId="5A95ACDC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6F1E92E" w:rsidR="0D6854B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Service Level Agreements (SLA): explanation</w:t>
      </w:r>
    </w:p>
    <w:p xmlns:wp14="http://schemas.microsoft.com/office/word/2010/wordml" w:rsidP="5E6A6C4B" wp14:paraId="513E10D6" wp14:textId="21A9AAFC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Statement of Common Ground (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SoCG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formal record of cross‑authority/stakeholder agreements on strategic matters.</w:t>
      </w:r>
    </w:p>
    <w:p xmlns:wp14="http://schemas.microsoft.com/office/word/2010/wordml" w:rsidP="5E6A6C4B" wp14:paraId="2A1A257B" wp14:textId="3B19DE1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Memorandum of Understanding (MoU):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non‑statutory agreement setting roles, info/data sharing, and collaboration arrangements.</w:t>
      </w:r>
    </w:p>
    <w:p xmlns:wp14="http://schemas.microsoft.com/office/word/2010/wordml" w:rsidP="5E6A6C4B" wp14:paraId="39EF1DA9" wp14:textId="21A35D05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Risk Assessment Strategy: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structured approach to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identifying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managing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programme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risks (often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operationalised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 a RAID log).</w:t>
      </w:r>
    </w:p>
    <w:p xmlns:wp14="http://schemas.microsoft.com/office/word/2010/wordml" w:rsidP="5E6A6C4B" wp14:paraId="7FF5298D" wp14:textId="4FB6886E">
      <w:pPr>
        <w:pStyle w:val="Heading2"/>
        <w:bidi w:val="0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E6A6C4B" w:rsidR="76FE47EC">
        <w:rPr>
          <w:noProof w:val="0"/>
          <w:lang w:val="en-US"/>
        </w:rPr>
        <w:t>Evidence, Data &amp; Assessment</w:t>
      </w:r>
    </w:p>
    <w:p xmlns:wp14="http://schemas.microsoft.com/office/word/2010/wordml" w:rsidP="5E6A6C4B" wp14:paraId="31F68DF7" wp14:textId="31625B6D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Evidence Base: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body of studies, datasets and analysis underpinning the SDS (proportionate to strategic decisions).</w:t>
      </w:r>
    </w:p>
    <w:p xmlns:wp14="http://schemas.microsoft.com/office/word/2010/wordml" w:rsidP="5E6A6C4B" wp14:paraId="5CE17E1B" wp14:textId="1DA5A482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Evidence Commissioning: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Specifying,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procuring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assuring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new studies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/datasets, with standards for licensing, interoperability, and QA.</w:t>
      </w:r>
    </w:p>
    <w:p xmlns:wp14="http://schemas.microsoft.com/office/word/2010/wordml" w:rsidP="5E6A6C4B" wp14:paraId="44A5AE6B" wp14:textId="2105014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Integrated Impact Assessment (IIA):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Combined assessment framework (e.g., equality, health, sustainability) tracking outcomes with indicators,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baselines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targets.</w:t>
      </w:r>
    </w:p>
    <w:p xmlns:wp14="http://schemas.microsoft.com/office/word/2010/wordml" w:rsidP="5E6A6C4B" wp14:paraId="24EF6ECD" wp14:textId="3091CE58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SA/SEA (Sustainability Appraisal / Strategic Environmental Assessment):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Statutory assessment processes considering environmental, social, and economic effects of the strategy.</w:t>
      </w:r>
    </w:p>
    <w:p xmlns:wp14="http://schemas.microsoft.com/office/word/2010/wordml" w:rsidP="5E6A6C4B" wp14:paraId="2CC9FD86" wp14:textId="4D27B060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Indicator (IIA/Monitoring):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measurable metric with baseline, target,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source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reporting cadence used to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evidence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outcomes.</w:t>
      </w:r>
    </w:p>
    <w:p xmlns:wp14="http://schemas.microsoft.com/office/word/2010/wordml" w:rsidP="5E6A6C4B" wp14:paraId="43EBF9B1" wp14:textId="76B1752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Data Catalogue: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register of datasets with owners, sources,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licences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refresh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cycles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caveats—foundation for an “evidence hub.”</w:t>
      </w:r>
    </w:p>
    <w:p xmlns:wp14="http://schemas.microsoft.com/office/word/2010/wordml" w:rsidP="5E6A6C4B" wp14:paraId="43919ECB" wp14:textId="600A483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Geospatial Observatory: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simple, shared mapping environment that aggregates authoritative layers for strategic screening/analysis (not site‑level decisioning).</w:t>
      </w:r>
    </w:p>
    <w:p xmlns:wp14="http://schemas.microsoft.com/office/word/2010/wordml" w:rsidP="5E6A6C4B" wp14:paraId="3191F8A5" wp14:textId="1E2503FD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Open Standards: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Common, published data and technical formats enabling reuse and interoperability across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organisations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tools.</w:t>
      </w:r>
    </w:p>
    <w:p xmlns:wp14="http://schemas.microsoft.com/office/word/2010/wordml" w:rsidP="5E6A6C4B" wp14:paraId="6E9AAE41" wp14:textId="31FE3947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PSGA / OS licensing: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Public Sector Geospatial Agreement arrangements governing re‑use of Ordnance Survey data.</w:t>
      </w:r>
    </w:p>
    <w:p xmlns:wp14="http://schemas.microsoft.com/office/word/2010/wordml" w:rsidP="5E6A6C4B" wp14:paraId="660132B1" wp14:textId="78CC4BDD">
      <w:pPr>
        <w:pStyle w:val="Heading2"/>
        <w:bidi w:val="0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E6A6C4B" w:rsidR="76FE47EC">
        <w:rPr>
          <w:noProof w:val="0"/>
          <w:lang w:val="en-US"/>
        </w:rPr>
        <w:t xml:space="preserve">Delivery, </w:t>
      </w:r>
      <w:r w:rsidRPr="5E6A6C4B" w:rsidR="76FE47EC">
        <w:rPr>
          <w:noProof w:val="0"/>
          <w:lang w:val="en-US"/>
        </w:rPr>
        <w:t>Programme</w:t>
      </w:r>
      <w:r w:rsidRPr="5E6A6C4B" w:rsidR="76FE47EC">
        <w:rPr>
          <w:noProof w:val="0"/>
          <w:lang w:val="en-US"/>
        </w:rPr>
        <w:t xml:space="preserve"> &amp; Engagement</w:t>
      </w:r>
    </w:p>
    <w:p xmlns:wp14="http://schemas.microsoft.com/office/word/2010/wordml" w:rsidP="5E6A6C4B" wp14:paraId="6445B1F0" wp14:textId="7238D83B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PID (Project Initiation Document):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core brief for an initiative—scope,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objectives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, governance, milestones, budget, risks.</w:t>
      </w:r>
    </w:p>
    <w:p xmlns:wp14="http://schemas.microsoft.com/office/word/2010/wordml" w:rsidP="5E6A6C4B" wp14:paraId="5ED8303B" wp14:textId="52F9B20D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RACI: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Roles/Responsibilities matrix: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esponsible,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ccountable,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C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onsulted,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I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nformed.</w:t>
      </w:r>
    </w:p>
    <w:p xmlns:wp14="http://schemas.microsoft.com/office/word/2010/wordml" w:rsidP="5E6A6C4B" wp14:paraId="3C5BF89A" wp14:textId="40BEC483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RAID: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isks,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ssumptions,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I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ssues,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D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ependencies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consolidated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register.</w:t>
      </w:r>
    </w:p>
    <w:p xmlns:wp14="http://schemas.microsoft.com/office/word/2010/wordml" w:rsidP="5E6A6C4B" wp14:paraId="3856DAD1" wp14:textId="43A83C4A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Gateway: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formal decision point in the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programme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(e.g., Options → Draft → Pre‑submission).</w:t>
      </w:r>
    </w:p>
    <w:p xmlns:wp14="http://schemas.microsoft.com/office/word/2010/wordml" w:rsidP="5E6A6C4B" wp14:paraId="35105BD2" wp14:textId="50358827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Stakeholder Map: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Visual/structured inventory of stakeholders, their influence/interests, and engagement approach.</w:t>
      </w:r>
    </w:p>
    <w:p xmlns:wp14="http://schemas.microsoft.com/office/word/2010/wordml" w:rsidP="5E6A6C4B" wp14:paraId="3D2E41C3" wp14:textId="3319DC0F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Seldom‑heard groups: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Communities typically under‑represented in formal engagement, requiring targeted, inclusive outreach patterns.</w:t>
      </w:r>
    </w:p>
    <w:p xmlns:wp14="http://schemas.microsoft.com/office/word/2010/wordml" w:rsidP="5E6A6C4B" wp14:paraId="01BBFB87" wp14:textId="7FEF6878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Plain‑English FAQ: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Concise, non‑technical Q\&amp;A used to explain the SDS narrative and choices.</w:t>
      </w:r>
    </w:p>
    <w:p xmlns:wp14="http://schemas.microsoft.com/office/word/2010/wordml" w:rsidP="16F1E92E" wp14:paraId="792764C9" wp14:textId="5C224906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16F1E92E" w:rsidR="027B3850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Time Boxing</w:t>
      </w:r>
      <w:r w:rsidRPr="16F1E92E" w:rsidR="3AB1FA39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: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productivity technique that involves 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allocating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fixed, 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maxi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mum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un</w:t>
      </w:r>
      <w:r w:rsidRPr="16F1E92E" w:rsidR="337DDBB1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it</w:t>
      </w:r>
      <w:r w:rsidRPr="16F1E92E" w:rsidR="726F52E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of time to a specific activity during which you focus exclusively on that task.</w:t>
      </w:r>
    </w:p>
    <w:p xmlns:wp14="http://schemas.microsoft.com/office/word/2010/wordml" w:rsidP="5E6A6C4B" wp14:paraId="3EE2906C" wp14:textId="5090C17D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Communications Plan: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Internal/external messaging, audiences, channels,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materials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cadence aligned to SDS milestones and risks.</w:t>
      </w:r>
    </w:p>
    <w:p xmlns:wp14="http://schemas.microsoft.com/office/word/2010/wordml" w:rsidP="5E6A6C4B" wp14:paraId="7FD79571" wp14:textId="2FA0BD9E">
      <w:pPr>
        <w:pStyle w:val="Heading2"/>
        <w:bidi w:val="0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E6A6C4B" w:rsidR="76FE47EC">
        <w:rPr>
          <w:noProof w:val="0"/>
          <w:lang w:val="en-US"/>
        </w:rPr>
        <w:t>Digital, AI &amp; Assurance</w:t>
      </w:r>
    </w:p>
    <w:p xmlns:wp14="http://schemas.microsoft.com/office/word/2010/wordml" w:rsidP="5E6A6C4B" wp14:paraId="3F0551BA" wp14:textId="58789CD1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Maturity Matrix (SDS):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structured self‑assessment of capability across key domains (governance, data, digital, engagement, delivery, monitoring).</w:t>
      </w:r>
    </w:p>
    <w:p xmlns:wp14="http://schemas.microsoft.com/office/word/2010/wordml" w:rsidP="5E6A6C4B" wp14:paraId="60E3C1F1" wp14:textId="4D8FD1AF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DPIA (Data Protection Impact Assessment):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Assessment of privacy risks and mitigations when processing personal/sensitive data.</w:t>
      </w:r>
    </w:p>
    <w:p xmlns:wp14="http://schemas.microsoft.com/office/word/2010/wordml" w:rsidP="5E6A6C4B" wp14:paraId="1BCA3D3A" wp14:textId="6FD79C56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PII (Personally Identifiable Information):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Data that can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identify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 individual—must be protected/avoided in public‑facing AI workflows.</w:t>
      </w:r>
    </w:p>
    <w:p xmlns:wp14="http://schemas.microsoft.com/office/word/2010/wordml" w:rsidP="5E6A6C4B" wp14:paraId="2DC4829A" wp14:textId="05A4140B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AI “human‑in‑the‑loop”: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 control principle where AI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assists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but a human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remains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accountable for decisions and public outputs.</w:t>
      </w:r>
    </w:p>
    <w:p xmlns:wp14="http://schemas.microsoft.com/office/word/2010/wordml" w:rsidP="5E6A6C4B" wp14:paraId="7A7ACBE2" wp14:textId="14BA097E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API‑first: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Designing systems and datasets so they can be programmatically accessed and integrated from the outset.</w:t>
      </w:r>
    </w:p>
    <w:p xmlns:wp14="http://schemas.microsoft.com/office/word/2010/wordml" w:rsidP="5E6A6C4B" wp14:paraId="1E2AFF97" wp14:textId="592B49DE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WCAG 2.2 AA: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Accessibility standard ensuring content works for users with disabilities across web/PDF outputs.</w:t>
      </w:r>
    </w:p>
    <w:p xmlns:wp14="http://schemas.microsoft.com/office/word/2010/wordml" w:rsidP="5E6A6C4B" wp14:paraId="5F156437" wp14:textId="44AAF2E7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MVP (Minimum Viable Product):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smallest useful version of a product (e.g.,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an initial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Evidence Hub) that can go live and iterate.</w:t>
      </w:r>
    </w:p>
    <w:p xmlns:wp14="http://schemas.microsoft.com/office/word/2010/wordml" w:rsidP="5E6A6C4B" wp14:paraId="7A11D510" wp14:textId="78772560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Change Control / Delta‑Update: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Lightweight mechanism to track and implement minor/major changes to guidance,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>legislation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and tools without redrafting everything.</w:t>
      </w:r>
    </w:p>
    <w:p xmlns:wp14="http://schemas.microsoft.com/office/word/2010/wordml" w:rsidP="5E6A6C4B" wp14:paraId="294EFFFE" wp14:textId="19136FA9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RAG status: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Red/Amber/Green status used to signal health or risk levels of items (e.g., legislative timetable, dependencies).</w:t>
      </w:r>
    </w:p>
    <w:p xmlns:wp14="http://schemas.microsoft.com/office/word/2010/wordml" w:rsidP="5E6A6C4B" wp14:paraId="7849C197" wp14:textId="5D676A05">
      <w:p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</w:rPr>
      </w:pPr>
    </w:p>
    <w:p xmlns:wp14="http://schemas.microsoft.com/office/word/2010/wordml" w:rsidP="5E6A6C4B" wp14:paraId="414D460E" wp14:textId="711D21F4">
      <w:pPr>
        <w:pStyle w:val="Heading2"/>
        <w:bidi w:val="0"/>
        <w:spacing w:before="261" w:beforeAutospacing="off" w:after="261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31"/>
          <w:szCs w:val="31"/>
          <w:lang w:val="en-US"/>
        </w:rPr>
      </w:pP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31"/>
          <w:szCs w:val="31"/>
          <w:lang w:val="en-US"/>
        </w:rPr>
        <w:t>C) Appendix: Acronyms (quick list)</w:t>
      </w:r>
    </w:p>
    <w:p xmlns:wp14="http://schemas.microsoft.com/office/word/2010/wordml" w:rsidP="5E6A6C4B" wp14:paraId="7E00D8A9" wp14:textId="03D5F7DA">
      <w:pPr>
        <w:bidi w:val="0"/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5E6A6C4B" w:rsidR="555B4336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API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Application Programming Interface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DfT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Department for Transport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DPIA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Data Protection Impact Assessment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EA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Environment Agency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HE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Homes England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IIA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Integrated Impact Assessment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LGA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Local Government Association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LGR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Local Government Reorganisation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LGP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Local Growth Plan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LNRS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Local Nature Recovery Strategy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MHCLG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Ministry of Housing, Communities &amp; Local Government (referenced historically)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MoU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Memorandum of Understanding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NESA/NESO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National Energy System Operator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NPPF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National Planning Policy Framework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NISTA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National Infrastructure and Service Transformation Authority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PAS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Planning Advisory Service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PID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Project Initiation Document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PII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Personally Identifiable Information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PSGA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Public Sector Geospatial Agreement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QA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Quality Assurance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RACI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Responsible, Accountable, Consulted, Informed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RAID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Risks, Assumptions, Issues, Dependencies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RAG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Red/Amber/Green (status)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RESP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Regional Energy Strategic Planning (cycle)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SDS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Spatial Development Strategy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SEA/SA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Strategic Environmental Assessment / Sustainability Appraisal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SoCG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Statement of Common Ground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SPA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Strategic Planning Authority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ToR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Terms of Reference</w:t>
      </w:r>
      <w:r>
        <w:br/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1"/>
          <w:szCs w:val="21"/>
          <w:lang w:val="en-US"/>
        </w:rPr>
        <w:t>WCAG</w:t>
      </w:r>
      <w:r w:rsidRPr="5E6A6C4B" w:rsidR="76FE47EC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Web Content Accessibility Guidelines</w:t>
      </w:r>
    </w:p>
    <w:p xmlns:wp14="http://schemas.microsoft.com/office/word/2010/wordml" w:rsidP="5E6A6C4B" wp14:paraId="3ADEBC71" wp14:textId="0D68DB2C">
      <w:pPr>
        <w:bidi w:val="0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</w:rPr>
      </w:pPr>
    </w:p>
    <w:p xmlns:wp14="http://schemas.microsoft.com/office/word/2010/wordml" w:rsidP="5E6A6C4B" wp14:paraId="2C078E63" wp14:textId="647328A2">
      <w:pPr>
        <w:rPr>
          <w:rFonts w:ascii="Arial Nova" w:hAnsi="Arial Nova" w:eastAsia="Arial Nova" w:cs="Arial Nova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888eec65d6f409e"/>
      <w:footerReference w:type="default" r:id="Rfcaa9b30fc2149fb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GU" w:author="Guest User" w:date="2026-02-10T16:29:53" w:id="493655847">
    <w:p xmlns:w14="http://schemas.microsoft.com/office/word/2010/wordml" xmlns:w="http://schemas.openxmlformats.org/wordprocessingml/2006/main" w:rsidR="71C5C081" w:rsidRDefault="3CE6BB53" w14:paraId="2227AD22" w14:textId="7F185D94">
      <w:pPr>
        <w:pStyle w:val="CommentText"/>
      </w:pPr>
      <w:r>
        <w:rPr>
          <w:rStyle w:val="CommentReference"/>
        </w:rPr>
        <w:annotationRef/>
      </w:r>
      <w:r w:rsidRPr="1633AA43" w:rsidR="0A811F8E">
        <w:t>can these be alphabetical for quick reference</w:t>
      </w:r>
    </w:p>
  </w:comment>
  <w:comment xmlns:w="http://schemas.openxmlformats.org/wordprocessingml/2006/main" w:initials="PF" w:author="Paul Frainer" w:date="2026-02-17T19:02:22" w:id="1546865071">
    <w:p xmlns:w14="http://schemas.microsoft.com/office/word/2010/wordml" xmlns:w="http://schemas.openxmlformats.org/wordprocessingml/2006/main" w:rsidR="74DF4E87" w:rsidRDefault="308EBF1E" w14:paraId="7E0B6A1F" w14:textId="20D9E27B">
      <w:pPr>
        <w:pStyle w:val="CommentText"/>
      </w:pPr>
      <w:r>
        <w:rPr>
          <w:rStyle w:val="CommentReference"/>
        </w:rPr>
        <w:annotationRef/>
      </w:r>
      <w:r w:rsidRPr="154282B4" w:rsidR="76C71EBE">
        <w:t xml:space="preserve">These can be reordered automatically to alphabetical when you upload them into your website backend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227AD22"/>
  <w15:commentEx w15:done="1" w15:paraId="7E0B6A1F" w15:paraIdParent="2227AD2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457B4B" w16cex:dateUtc="2026-02-10T16:29:53.042Z"/>
  <w16cex:commentExtensible w16cex:durableId="0AB59BA6" w16cex:dateUtc="2026-02-17T19:02:22.1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27AD22" w16cid:durableId="2D457B4B"/>
  <w16cid:commentId w16cid:paraId="7E0B6A1F" w16cid:durableId="0AB59B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6A6C4B" w:rsidTr="5E6A6C4B" w14:paraId="4FD05314">
      <w:trPr>
        <w:trHeight w:val="300"/>
      </w:trPr>
      <w:tc>
        <w:tcPr>
          <w:tcW w:w="3120" w:type="dxa"/>
          <w:tcMar/>
        </w:tcPr>
        <w:p w:rsidR="5E6A6C4B" w:rsidP="5E6A6C4B" w:rsidRDefault="5E6A6C4B" w14:paraId="5F563E5F" w14:textId="4AA5E28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6A6C4B" w:rsidP="5E6A6C4B" w:rsidRDefault="5E6A6C4B" w14:paraId="73C9854E" w14:textId="6FFE96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6A6C4B" w:rsidP="5E6A6C4B" w:rsidRDefault="5E6A6C4B" w14:paraId="02EAA7D3" w14:textId="3C3AE7BE">
          <w:pPr>
            <w:pStyle w:val="Header"/>
            <w:bidi w:val="0"/>
            <w:ind w:right="-115"/>
            <w:jc w:val="right"/>
          </w:pPr>
        </w:p>
      </w:tc>
    </w:tr>
  </w:tbl>
  <w:p w:rsidR="5E6A6C4B" w:rsidP="5E6A6C4B" w:rsidRDefault="5E6A6C4B" w14:paraId="6C189C7A" w14:textId="70A2ADE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6A6C4B" w:rsidTr="5E6A6C4B" w14:paraId="01F7F465">
      <w:trPr>
        <w:trHeight w:val="300"/>
      </w:trPr>
      <w:tc>
        <w:tcPr>
          <w:tcW w:w="3120" w:type="dxa"/>
          <w:tcMar/>
        </w:tcPr>
        <w:p w:rsidR="5E6A6C4B" w:rsidP="5E6A6C4B" w:rsidRDefault="5E6A6C4B" w14:paraId="64635D0C" w14:textId="5B5CEF7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6A6C4B" w:rsidP="5E6A6C4B" w:rsidRDefault="5E6A6C4B" w14:paraId="29CDDECC" w14:textId="5C3D43B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6A6C4B" w:rsidP="5E6A6C4B" w:rsidRDefault="5E6A6C4B" w14:paraId="4DEB276B" w14:textId="66F6FF3A">
          <w:pPr>
            <w:pStyle w:val="Header"/>
            <w:bidi w:val="0"/>
            <w:ind w:right="-115"/>
            <w:jc w:val="right"/>
          </w:pPr>
          <w:r w:rsidR="5E6A6C4B">
            <w:drawing>
              <wp:inline wp14:editId="64C5F04C" wp14:anchorId="6FE33C25">
                <wp:extent cx="1847850" cy="971550"/>
                <wp:effectExtent l="0" t="0" r="0" b="0"/>
                <wp:docPr id="32729019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27290192" name="Picture 32729019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119622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971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E6A6C4B" w:rsidP="5E6A6C4B" w:rsidRDefault="5E6A6C4B" w14:paraId="601C27BD" w14:textId="44CC5E1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dcca4d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55cc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43f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fe37a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049e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809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2f74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uest User">
    <w15:presenceInfo w15:providerId="AD" w15:userId="S::urn:spo:tenantanon#47293875-ad9b-4ea6-878b-141779964bf9::"/>
  </w15:person>
  <w15:person w15:author="Paul Frainer">
    <w15:presenceInfo w15:providerId="AD" w15:userId="S::paulfrainer@olivebranchconsulting900.onmicrosoft.com::e87da9ca-f365-420a-a187-9107a7d8b63f"/>
  </w15:person>
  <w15:person w15:author="Paul Frainer">
    <w15:presenceInfo w15:providerId="AD" w15:userId="S::paulfrainer@olivebranchconsulting900.onmicrosoft.com::e87da9ca-f365-420a-a187-9107a7d8b6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5D56C6"/>
    <w:rsid w:val="014FE8B0"/>
    <w:rsid w:val="027B3850"/>
    <w:rsid w:val="0491140C"/>
    <w:rsid w:val="06A886D0"/>
    <w:rsid w:val="0767F1CF"/>
    <w:rsid w:val="09CF8342"/>
    <w:rsid w:val="0C720770"/>
    <w:rsid w:val="0D6854BD"/>
    <w:rsid w:val="14B1DF8C"/>
    <w:rsid w:val="150808EC"/>
    <w:rsid w:val="16F1E92E"/>
    <w:rsid w:val="175F367B"/>
    <w:rsid w:val="1AFE0E66"/>
    <w:rsid w:val="1DEF0B2E"/>
    <w:rsid w:val="20574B4E"/>
    <w:rsid w:val="2746E65B"/>
    <w:rsid w:val="275D56C6"/>
    <w:rsid w:val="27D2EC06"/>
    <w:rsid w:val="2AE72FF7"/>
    <w:rsid w:val="2BAC2F31"/>
    <w:rsid w:val="31814939"/>
    <w:rsid w:val="32BB7B02"/>
    <w:rsid w:val="32F69759"/>
    <w:rsid w:val="337DDBB1"/>
    <w:rsid w:val="33E99CF1"/>
    <w:rsid w:val="369D7A73"/>
    <w:rsid w:val="37BBE4FA"/>
    <w:rsid w:val="37BBE4FA"/>
    <w:rsid w:val="3AA79AE5"/>
    <w:rsid w:val="3AB1FA39"/>
    <w:rsid w:val="3C48E0DD"/>
    <w:rsid w:val="3F16D3E7"/>
    <w:rsid w:val="41017388"/>
    <w:rsid w:val="41597784"/>
    <w:rsid w:val="42446A40"/>
    <w:rsid w:val="42446A40"/>
    <w:rsid w:val="426C055A"/>
    <w:rsid w:val="46298401"/>
    <w:rsid w:val="466C3553"/>
    <w:rsid w:val="46E9E10B"/>
    <w:rsid w:val="483D7F98"/>
    <w:rsid w:val="4A3BE42A"/>
    <w:rsid w:val="4E1D9AF0"/>
    <w:rsid w:val="4FB7A564"/>
    <w:rsid w:val="5024A844"/>
    <w:rsid w:val="505F2DDB"/>
    <w:rsid w:val="50C4AE7B"/>
    <w:rsid w:val="52B60135"/>
    <w:rsid w:val="53628D5D"/>
    <w:rsid w:val="555B4336"/>
    <w:rsid w:val="5E6A6C4B"/>
    <w:rsid w:val="5FDD6FB3"/>
    <w:rsid w:val="61421DDF"/>
    <w:rsid w:val="6145E826"/>
    <w:rsid w:val="6145E826"/>
    <w:rsid w:val="6156A860"/>
    <w:rsid w:val="62B01C86"/>
    <w:rsid w:val="636A19DD"/>
    <w:rsid w:val="647C3B9E"/>
    <w:rsid w:val="669897DA"/>
    <w:rsid w:val="6775CA2D"/>
    <w:rsid w:val="67A44F09"/>
    <w:rsid w:val="68D6F6E1"/>
    <w:rsid w:val="6B919C33"/>
    <w:rsid w:val="6C509D4D"/>
    <w:rsid w:val="6D40529C"/>
    <w:rsid w:val="70A272E4"/>
    <w:rsid w:val="717E5884"/>
    <w:rsid w:val="726F52E2"/>
    <w:rsid w:val="73BC78E9"/>
    <w:rsid w:val="76CC05DF"/>
    <w:rsid w:val="76FE47EC"/>
    <w:rsid w:val="7854D5CE"/>
    <w:rsid w:val="7944456F"/>
    <w:rsid w:val="795098E7"/>
    <w:rsid w:val="7BD7B27B"/>
    <w:rsid w:val="7D68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56C6"/>
  <w15:chartTrackingRefBased/>
  <w15:docId w15:val="{DCEAEFAE-51FA-4F20-9F53-39B80B35D8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E6A6C4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E6A6C4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E6A6C4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E6A6C4B"/>
    <w:rPr>
      <w:color w:val="467886"/>
      <w:u w:val="single"/>
    </w:rPr>
  </w:style>
  <w:style w:type="paragraph" w:styleId="Title">
    <w:uiPriority w:val="10"/>
    <w:name w:val="Title"/>
    <w:basedOn w:val="Normal"/>
    <w:next w:val="Normal"/>
    <w:qFormat/>
    <w:rsid w:val="5E6A6C4B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er">
    <w:uiPriority w:val="99"/>
    <w:name w:val="header"/>
    <w:basedOn w:val="Normal"/>
    <w:unhideWhenUsed/>
    <w:rsid w:val="5E6A6C4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E6A6C4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5E6A6C4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.xml" Id="Rc888eec65d6f409e" /><Relationship Type="http://schemas.openxmlformats.org/officeDocument/2006/relationships/footer" Target="footer.xml" Id="Rfcaa9b30fc2149f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54eef7489b427f" /><Relationship Type="http://schemas.openxmlformats.org/officeDocument/2006/relationships/comments" Target="comments.xml" Id="Ra4185eeafa7b41b9" /><Relationship Type="http://schemas.microsoft.com/office/2016/09/relationships/commentsIds" Target="commentsIds.xml" Id="Rc4e1fd1bc4354324" /><Relationship Type="http://schemas.microsoft.com/office/2011/relationships/commentsExtended" Target="commentsExtended.xml" Id="Ra6a692803b284024" /><Relationship Type="http://schemas.microsoft.com/office/2018/08/relationships/commentsExtensible" Target="commentsExtensible.xml" Id="R1542d9325e494211" /><Relationship Type="http://schemas.microsoft.com/office/2011/relationships/people" Target="people.xml" Id="Rcf24720795194d9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119622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81C45222-A8FF-468F-91C0-B0AD549E1483}"/>
</file>

<file path=customXml/itemProps2.xml><?xml version="1.0" encoding="utf-8"?>
<ds:datastoreItem xmlns:ds="http://schemas.openxmlformats.org/officeDocument/2006/customXml" ds:itemID="{29A119E0-6782-46C1-A68E-859C5FDBA6D9}"/>
</file>

<file path=customXml/itemProps3.xml><?xml version="1.0" encoding="utf-8"?>
<ds:datastoreItem xmlns:ds="http://schemas.openxmlformats.org/officeDocument/2006/customXml" ds:itemID="{980DB796-7B4A-4E2C-BE0E-D1E8990989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Frainer</dc:creator>
  <keywords/>
  <dc:description/>
  <lastModifiedBy>Liz Hobden</lastModifiedBy>
  <dcterms:created xsi:type="dcterms:W3CDTF">2026-02-09T09:50:41.0000000Z</dcterms:created>
  <dcterms:modified xsi:type="dcterms:W3CDTF">2026-02-28T17:41:48.6449278Z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