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11C" w:rsidRPr="00690317" w:rsidRDefault="00A8011C" w:rsidP="00A8011C">
      <w:pPr>
        <w:pStyle w:val="Heading1"/>
        <w:rPr>
          <w:rStyle w:val="Strong"/>
          <w:u w:val="single"/>
        </w:rPr>
      </w:pPr>
      <w:bookmarkStart w:id="0" w:name="_GoBack"/>
      <w:bookmarkEnd w:id="0"/>
      <w:r w:rsidRPr="00690317">
        <w:rPr>
          <w:rStyle w:val="Strong"/>
          <w:u w:val="single"/>
        </w:rPr>
        <w:t>CIL the Basics –</w:t>
      </w:r>
      <w:r>
        <w:rPr>
          <w:rStyle w:val="Strong"/>
          <w:u w:val="single"/>
        </w:rPr>
        <w:t xml:space="preserve"> Briefing Note (Updated Dec 2015)</w:t>
      </w:r>
    </w:p>
    <w:p w:rsidR="00A8011C" w:rsidRDefault="00A8011C" w:rsidP="00A8011C">
      <w:pPr>
        <w:rPr>
          <w:rFonts w:ascii="Arial" w:hAnsi="Arial" w:cs="Arial"/>
          <w:b/>
        </w:rPr>
      </w:pPr>
    </w:p>
    <w:p w:rsidR="00A8011C" w:rsidRPr="00074F78" w:rsidRDefault="00A8011C" w:rsidP="00A8011C">
      <w:pPr>
        <w:rPr>
          <w:rFonts w:ascii="Arial" w:hAnsi="Arial" w:cs="Arial"/>
          <w:b/>
        </w:rPr>
      </w:pPr>
      <w:r w:rsidRPr="00074F78">
        <w:rPr>
          <w:rFonts w:ascii="Arial" w:hAnsi="Arial" w:cs="Arial"/>
          <w:b/>
        </w:rPr>
        <w:t>What is CIL?:</w:t>
      </w:r>
    </w:p>
    <w:p w:rsidR="00A8011C" w:rsidRPr="00074F78" w:rsidRDefault="00A8011C" w:rsidP="00A8011C">
      <w:pPr>
        <w:numPr>
          <w:ilvl w:val="0"/>
          <w:numId w:val="1"/>
        </w:numPr>
        <w:rPr>
          <w:rFonts w:ascii="Arial" w:hAnsi="Arial" w:cs="Arial"/>
        </w:rPr>
      </w:pPr>
      <w:r w:rsidRPr="00074F78">
        <w:rPr>
          <w:rFonts w:ascii="Arial" w:hAnsi="Arial" w:cs="Arial"/>
        </w:rPr>
        <w:t>A mechanism for developer contributions</w:t>
      </w:r>
    </w:p>
    <w:p w:rsidR="00A8011C" w:rsidRPr="00074F78" w:rsidRDefault="00A8011C" w:rsidP="00A8011C">
      <w:pPr>
        <w:numPr>
          <w:ilvl w:val="0"/>
          <w:numId w:val="1"/>
        </w:numPr>
        <w:rPr>
          <w:rFonts w:ascii="Arial" w:hAnsi="Arial" w:cs="Arial"/>
        </w:rPr>
      </w:pPr>
      <w:r w:rsidRPr="00074F78">
        <w:rPr>
          <w:rFonts w:ascii="Arial" w:hAnsi="Arial" w:cs="Arial"/>
        </w:rPr>
        <w:t>To contribute towards infrastructure needed to support the development of the area</w:t>
      </w:r>
    </w:p>
    <w:p w:rsidR="00A8011C" w:rsidRPr="00074F78" w:rsidRDefault="00A8011C" w:rsidP="00A8011C">
      <w:pPr>
        <w:numPr>
          <w:ilvl w:val="0"/>
          <w:numId w:val="1"/>
        </w:numPr>
        <w:rPr>
          <w:rFonts w:ascii="Arial" w:hAnsi="Arial" w:cs="Arial"/>
        </w:rPr>
      </w:pPr>
      <w:r w:rsidRPr="00074F78">
        <w:rPr>
          <w:rFonts w:ascii="Arial" w:hAnsi="Arial" w:cs="Arial"/>
        </w:rPr>
        <w:t xml:space="preserve">A charge per square metre of </w:t>
      </w:r>
      <w:proofErr w:type="spellStart"/>
      <w:r w:rsidRPr="00074F78">
        <w:rPr>
          <w:rFonts w:ascii="Arial" w:hAnsi="Arial" w:cs="Arial"/>
        </w:rPr>
        <w:t>floorspace</w:t>
      </w:r>
      <w:proofErr w:type="spellEnd"/>
    </w:p>
    <w:p w:rsidR="00A8011C" w:rsidRPr="00074F78" w:rsidRDefault="00A8011C" w:rsidP="00A8011C">
      <w:pPr>
        <w:numPr>
          <w:ilvl w:val="0"/>
          <w:numId w:val="1"/>
        </w:numPr>
        <w:rPr>
          <w:rFonts w:ascii="Arial" w:hAnsi="Arial" w:cs="Arial"/>
        </w:rPr>
      </w:pPr>
      <w:r w:rsidRPr="00074F78">
        <w:rPr>
          <w:rFonts w:ascii="Arial" w:hAnsi="Arial" w:cs="Arial"/>
        </w:rPr>
        <w:t>Not mandatory</w:t>
      </w:r>
    </w:p>
    <w:p w:rsidR="00A8011C" w:rsidRPr="00074F78" w:rsidRDefault="00A8011C" w:rsidP="00A8011C">
      <w:pPr>
        <w:rPr>
          <w:rFonts w:ascii="Arial" w:hAnsi="Arial" w:cs="Arial"/>
        </w:rPr>
      </w:pPr>
    </w:p>
    <w:p w:rsidR="00A8011C" w:rsidRPr="00074F78" w:rsidRDefault="00A8011C" w:rsidP="00A8011C">
      <w:pPr>
        <w:rPr>
          <w:rFonts w:ascii="Arial" w:hAnsi="Arial" w:cs="Arial"/>
          <w:b/>
        </w:rPr>
      </w:pPr>
      <w:r w:rsidRPr="00074F78">
        <w:rPr>
          <w:rFonts w:ascii="Arial" w:hAnsi="Arial" w:cs="Arial"/>
          <w:b/>
        </w:rPr>
        <w:t>What is CIL for?:</w:t>
      </w:r>
    </w:p>
    <w:p w:rsidR="00A8011C" w:rsidRPr="00074F78" w:rsidRDefault="00A8011C" w:rsidP="00A8011C">
      <w:pPr>
        <w:rPr>
          <w:rFonts w:ascii="Arial" w:hAnsi="Arial" w:cs="Arial"/>
        </w:rPr>
      </w:pPr>
      <w:r w:rsidRPr="00074F78">
        <w:rPr>
          <w:rFonts w:ascii="Arial" w:hAnsi="Arial" w:cs="Arial"/>
        </w:rPr>
        <w:t>To help pay for infrastructure needed to support new development</w:t>
      </w:r>
    </w:p>
    <w:p w:rsidR="00A8011C" w:rsidRPr="00074F78" w:rsidRDefault="00A8011C" w:rsidP="00A8011C">
      <w:pPr>
        <w:rPr>
          <w:rFonts w:ascii="Arial" w:hAnsi="Arial" w:cs="Arial"/>
        </w:rPr>
      </w:pPr>
      <w:r w:rsidRPr="00074F78">
        <w:rPr>
          <w:rFonts w:ascii="Arial" w:hAnsi="Arial" w:cs="Arial"/>
        </w:rPr>
        <w:t>But not to remedy existing deficiencies unless the new scheme will make it worse</w:t>
      </w:r>
    </w:p>
    <w:p w:rsidR="00A8011C" w:rsidRPr="00074F78" w:rsidRDefault="00A8011C" w:rsidP="00A8011C">
      <w:pPr>
        <w:rPr>
          <w:rFonts w:ascii="Arial" w:hAnsi="Arial" w:cs="Arial"/>
        </w:rPr>
      </w:pPr>
      <w:r w:rsidRPr="00074F78">
        <w:rPr>
          <w:rFonts w:ascii="Arial" w:hAnsi="Arial" w:cs="Arial"/>
        </w:rPr>
        <w:t>Councils must spend the income on infrastructure – but you can decide what (and that can change over time)</w:t>
      </w:r>
    </w:p>
    <w:p w:rsidR="00A8011C" w:rsidRPr="00074F78" w:rsidRDefault="00A8011C" w:rsidP="00A8011C">
      <w:pPr>
        <w:rPr>
          <w:rFonts w:ascii="Arial" w:hAnsi="Arial" w:cs="Arial"/>
        </w:rPr>
      </w:pPr>
    </w:p>
    <w:p w:rsidR="00A8011C" w:rsidRPr="00074F78" w:rsidRDefault="00A8011C" w:rsidP="00A8011C">
      <w:pPr>
        <w:rPr>
          <w:rFonts w:ascii="Arial" w:hAnsi="Arial" w:cs="Arial"/>
          <w:b/>
        </w:rPr>
      </w:pPr>
      <w:r w:rsidRPr="00074F78">
        <w:rPr>
          <w:rFonts w:ascii="Arial" w:hAnsi="Arial" w:cs="Arial"/>
          <w:b/>
        </w:rPr>
        <w:t>Some CIL basics:</w:t>
      </w:r>
    </w:p>
    <w:p w:rsidR="00A8011C" w:rsidRPr="00074F78" w:rsidRDefault="00A8011C" w:rsidP="00A8011C">
      <w:pPr>
        <w:rPr>
          <w:rFonts w:ascii="Arial" w:hAnsi="Arial" w:cs="Arial"/>
        </w:rPr>
      </w:pPr>
      <w:r w:rsidRPr="00074F78">
        <w:rPr>
          <w:rFonts w:ascii="Arial" w:hAnsi="Arial" w:cs="Arial"/>
        </w:rPr>
        <w:t xml:space="preserve">£ per square metre on net additional (internal) </w:t>
      </w:r>
      <w:proofErr w:type="spellStart"/>
      <w:r w:rsidRPr="00074F78">
        <w:rPr>
          <w:rFonts w:ascii="Arial" w:hAnsi="Arial" w:cs="Arial"/>
        </w:rPr>
        <w:t>floorspace</w:t>
      </w:r>
      <w:proofErr w:type="spellEnd"/>
    </w:p>
    <w:p w:rsidR="00A8011C" w:rsidRPr="00074F78" w:rsidRDefault="00A8011C" w:rsidP="00A8011C">
      <w:pPr>
        <w:rPr>
          <w:rFonts w:ascii="Arial" w:hAnsi="Arial" w:cs="Arial"/>
        </w:rPr>
      </w:pPr>
      <w:r w:rsidRPr="00074F78">
        <w:rPr>
          <w:rFonts w:ascii="Arial" w:hAnsi="Arial" w:cs="Arial"/>
        </w:rPr>
        <w:t xml:space="preserve">Rates can vary by geographic area or use or size </w:t>
      </w:r>
    </w:p>
    <w:p w:rsidR="00A8011C" w:rsidRPr="00074F78" w:rsidRDefault="00A8011C" w:rsidP="00A8011C">
      <w:pPr>
        <w:rPr>
          <w:rFonts w:ascii="Arial" w:hAnsi="Arial" w:cs="Arial"/>
        </w:rPr>
      </w:pPr>
      <w:r w:rsidRPr="00074F78">
        <w:rPr>
          <w:rFonts w:ascii="Arial" w:hAnsi="Arial" w:cs="Arial"/>
        </w:rPr>
        <w:t>Payment is due when the development starts (or phases or instalments- the charging authority decide)</w:t>
      </w:r>
    </w:p>
    <w:p w:rsidR="00A8011C" w:rsidRPr="00074F78" w:rsidRDefault="00A8011C" w:rsidP="00A8011C">
      <w:pPr>
        <w:rPr>
          <w:rFonts w:ascii="Arial" w:hAnsi="Arial" w:cs="Arial"/>
        </w:rPr>
      </w:pPr>
      <w:r w:rsidRPr="00074F78">
        <w:rPr>
          <w:rFonts w:ascii="Arial" w:hAnsi="Arial" w:cs="Arial"/>
        </w:rPr>
        <w:t>It is index linked</w:t>
      </w:r>
      <w:r>
        <w:rPr>
          <w:rFonts w:ascii="Arial" w:hAnsi="Arial" w:cs="Arial"/>
        </w:rPr>
        <w:t xml:space="preserve"> (</w:t>
      </w:r>
      <w:r w:rsidRPr="00074F78">
        <w:rPr>
          <w:rFonts w:ascii="Arial" w:hAnsi="Arial" w:cs="Arial"/>
        </w:rPr>
        <w:t>using BCIS index – only available through RICS)</w:t>
      </w:r>
    </w:p>
    <w:p w:rsidR="00A8011C" w:rsidRPr="00074F78" w:rsidRDefault="00A8011C" w:rsidP="00A8011C">
      <w:pPr>
        <w:rPr>
          <w:rFonts w:ascii="Arial" w:hAnsi="Arial" w:cs="Arial"/>
        </w:rPr>
      </w:pPr>
      <w:r w:rsidRPr="00074F78">
        <w:rPr>
          <w:rFonts w:ascii="Arial" w:hAnsi="Arial" w:cs="Arial"/>
        </w:rPr>
        <w:t xml:space="preserve">The landowner is responsible for paying it </w:t>
      </w:r>
    </w:p>
    <w:p w:rsidR="00A8011C" w:rsidRPr="00074F78" w:rsidRDefault="00A8011C" w:rsidP="00A8011C">
      <w:pPr>
        <w:rPr>
          <w:rFonts w:ascii="Arial" w:hAnsi="Arial" w:cs="Arial"/>
        </w:rPr>
      </w:pPr>
      <w:r w:rsidRPr="00074F78">
        <w:rPr>
          <w:rFonts w:ascii="Arial" w:hAnsi="Arial" w:cs="Arial"/>
        </w:rPr>
        <w:t>The local planning authority is the charging authority (&amp; sets the CIL)</w:t>
      </w:r>
    </w:p>
    <w:p w:rsidR="00A8011C" w:rsidRPr="00074F78" w:rsidRDefault="00A8011C" w:rsidP="00A8011C">
      <w:pPr>
        <w:rPr>
          <w:rFonts w:ascii="Arial" w:hAnsi="Arial" w:cs="Arial"/>
        </w:rPr>
      </w:pPr>
    </w:p>
    <w:p w:rsidR="003B2C5E" w:rsidRDefault="00A8011C" w:rsidP="003B2C5E">
      <w:pPr>
        <w:rPr>
          <w:rFonts w:ascii="Arial" w:hAnsi="Arial" w:cs="Arial"/>
          <w:b/>
        </w:rPr>
      </w:pPr>
      <w:r w:rsidRPr="00074F78">
        <w:rPr>
          <w:rFonts w:ascii="Arial" w:hAnsi="Arial" w:cs="Arial"/>
          <w:b/>
        </w:rPr>
        <w:t>When Does CIL apply?:</w:t>
      </w:r>
    </w:p>
    <w:p w:rsidR="003B2C5E" w:rsidRPr="003B2C5E" w:rsidRDefault="003B2C5E" w:rsidP="003B2C5E">
      <w:pPr>
        <w:rPr>
          <w:rFonts w:ascii="Arial" w:hAnsi="Arial" w:cs="Arial"/>
          <w:b/>
        </w:rPr>
      </w:pPr>
      <w:r w:rsidRPr="003B2C5E">
        <w:rPr>
          <w:rFonts w:ascii="Arial" w:hAnsi="Arial" w:cs="Arial"/>
        </w:rPr>
        <w:t>To all development except:</w:t>
      </w:r>
    </w:p>
    <w:p w:rsidR="003B2C5E" w:rsidRPr="003B2C5E" w:rsidRDefault="003B2C5E" w:rsidP="003B2C5E">
      <w:pPr>
        <w:rPr>
          <w:rFonts w:ascii="Arial" w:hAnsi="Arial" w:cs="Arial"/>
        </w:rPr>
      </w:pPr>
      <w:r w:rsidRPr="003B2C5E">
        <w:rPr>
          <w:rFonts w:ascii="Arial" w:hAnsi="Arial" w:cs="Arial"/>
        </w:rPr>
        <w:t>•</w:t>
      </w:r>
      <w:r w:rsidRPr="003B2C5E">
        <w:rPr>
          <w:rFonts w:ascii="Arial" w:hAnsi="Arial" w:cs="Arial"/>
        </w:rPr>
        <w:tab/>
        <w:t xml:space="preserve">‘buildings that people do not normally go into’ </w:t>
      </w:r>
    </w:p>
    <w:p w:rsidR="003B2C5E" w:rsidRDefault="003B2C5E" w:rsidP="00A8011C">
      <w:pPr>
        <w:rPr>
          <w:rFonts w:ascii="Arial" w:hAnsi="Arial" w:cs="Arial"/>
        </w:rPr>
      </w:pPr>
      <w:r w:rsidRPr="003B2C5E">
        <w:rPr>
          <w:rFonts w:ascii="Arial" w:hAnsi="Arial" w:cs="Arial"/>
        </w:rPr>
        <w:t>•</w:t>
      </w:r>
      <w:r w:rsidRPr="003B2C5E">
        <w:rPr>
          <w:rFonts w:ascii="Arial" w:hAnsi="Arial" w:cs="Arial"/>
        </w:rPr>
        <w:tab/>
        <w:t>development of less than 100sqm gross internal floor space unless this is a residential dwelling in w</w:t>
      </w:r>
      <w:r>
        <w:rPr>
          <w:rFonts w:ascii="Arial" w:hAnsi="Arial" w:cs="Arial"/>
        </w:rPr>
        <w:t>hich case the levy is payable.</w:t>
      </w:r>
    </w:p>
    <w:p w:rsidR="003B2C5E" w:rsidRDefault="003B2C5E" w:rsidP="00A8011C">
      <w:pPr>
        <w:rPr>
          <w:rFonts w:ascii="Arial" w:hAnsi="Arial" w:cs="Arial"/>
        </w:rPr>
      </w:pPr>
    </w:p>
    <w:p w:rsidR="003B2C5E" w:rsidRDefault="003B2C5E" w:rsidP="00A8011C">
      <w:pPr>
        <w:rPr>
          <w:rFonts w:ascii="Arial" w:hAnsi="Arial" w:cs="Arial"/>
        </w:rPr>
      </w:pPr>
      <w:r w:rsidRPr="003B2C5E">
        <w:rPr>
          <w:rFonts w:ascii="Arial" w:hAnsi="Arial" w:cs="Arial"/>
        </w:rPr>
        <w:t xml:space="preserve">Further guidance on types of development that are exempt from CIL or which may be eligible for relief from payment of CIL is available here: </w:t>
      </w:r>
      <w:hyperlink r:id="rId6" w:anchor="collecting-the-levy" w:history="1">
        <w:r w:rsidRPr="00056F6F">
          <w:rPr>
            <w:rStyle w:val="Hyperlink"/>
            <w:rFonts w:ascii="Arial" w:hAnsi="Arial" w:cs="Arial"/>
          </w:rPr>
          <w:t>https://www.gov.uk/guidance/community-infrastructure-levy#collecting-the-levy</w:t>
        </w:r>
      </w:hyperlink>
    </w:p>
    <w:p w:rsidR="003B2C5E" w:rsidRDefault="003B2C5E" w:rsidP="003B2C5E">
      <w:pPr>
        <w:rPr>
          <w:rFonts w:ascii="Arial" w:hAnsi="Arial" w:cs="Arial"/>
          <w:b/>
        </w:rPr>
      </w:pPr>
    </w:p>
    <w:p w:rsidR="00A8011C" w:rsidRPr="00074F78" w:rsidRDefault="00A8011C" w:rsidP="003B2C5E">
      <w:pPr>
        <w:rPr>
          <w:rFonts w:ascii="Arial" w:hAnsi="Arial" w:cs="Arial"/>
        </w:rPr>
      </w:pPr>
      <w:r w:rsidRPr="00074F78">
        <w:rPr>
          <w:rFonts w:ascii="Arial" w:hAnsi="Arial" w:cs="Arial"/>
        </w:rPr>
        <w:t>Includes permitted development (it doesn’t have to follow a planning permission)</w:t>
      </w:r>
      <w:r w:rsidR="003B2C5E">
        <w:rPr>
          <w:rFonts w:ascii="Arial" w:hAnsi="Arial" w:cs="Arial"/>
        </w:rPr>
        <w:t xml:space="preserve">. </w:t>
      </w:r>
      <w:r w:rsidRPr="00074F78">
        <w:rPr>
          <w:rFonts w:ascii="Arial" w:hAnsi="Arial" w:cs="Arial"/>
        </w:rPr>
        <w:t xml:space="preserve">Once set, you can’t pick and choose which developments to charge </w:t>
      </w:r>
    </w:p>
    <w:p w:rsidR="00A8011C" w:rsidRPr="00074F78" w:rsidRDefault="00A8011C" w:rsidP="00A8011C">
      <w:pPr>
        <w:rPr>
          <w:rFonts w:ascii="Arial" w:hAnsi="Arial" w:cs="Arial"/>
        </w:rPr>
      </w:pPr>
    </w:p>
    <w:p w:rsidR="00A8011C" w:rsidRDefault="00A8011C" w:rsidP="00A8011C">
      <w:pPr>
        <w:rPr>
          <w:rFonts w:ascii="Arial" w:hAnsi="Arial" w:cs="Arial"/>
          <w:b/>
        </w:rPr>
      </w:pPr>
      <w:r>
        <w:rPr>
          <w:rFonts w:ascii="Arial" w:hAnsi="Arial" w:cs="Arial"/>
          <w:b/>
        </w:rPr>
        <w:t>When setting a CIL you need to :</w:t>
      </w:r>
    </w:p>
    <w:p w:rsidR="00A8011C" w:rsidRPr="00690317" w:rsidRDefault="00A8011C" w:rsidP="00A8011C">
      <w:pPr>
        <w:rPr>
          <w:rFonts w:ascii="Arial" w:hAnsi="Arial" w:cs="Arial"/>
        </w:rPr>
      </w:pPr>
      <w:r w:rsidRPr="00690317">
        <w:rPr>
          <w:rFonts w:ascii="Arial" w:hAnsi="Arial" w:cs="Arial"/>
        </w:rPr>
        <w:t>Strike the appropriate balance between</w:t>
      </w:r>
      <w:r>
        <w:rPr>
          <w:rFonts w:ascii="Arial" w:hAnsi="Arial" w:cs="Arial"/>
        </w:rPr>
        <w:t xml:space="preserve"> - </w:t>
      </w:r>
    </w:p>
    <w:p w:rsidR="00A8011C" w:rsidRDefault="00A8011C" w:rsidP="00A8011C">
      <w:pPr>
        <w:rPr>
          <w:rFonts w:ascii="Arial" w:hAnsi="Arial" w:cs="Arial"/>
        </w:rPr>
      </w:pPr>
      <w:r w:rsidRPr="00690317">
        <w:rPr>
          <w:rFonts w:ascii="Arial" w:hAnsi="Arial" w:cs="Arial"/>
        </w:rPr>
        <w:t>the desirability of funding the infrastructure gap to support the development of the area from CIL and</w:t>
      </w:r>
      <w:r>
        <w:rPr>
          <w:rFonts w:ascii="Arial" w:hAnsi="Arial" w:cs="Arial"/>
        </w:rPr>
        <w:t xml:space="preserve"> </w:t>
      </w:r>
      <w:r w:rsidRPr="00690317">
        <w:rPr>
          <w:rFonts w:ascii="Arial" w:hAnsi="Arial" w:cs="Arial"/>
        </w:rPr>
        <w:t>the potential effects (taken as a whole) of the imposition of CIL upon the economic viability of development across the area.</w:t>
      </w:r>
    </w:p>
    <w:p w:rsidR="00A8011C" w:rsidRPr="00690317" w:rsidRDefault="00A8011C" w:rsidP="00A8011C">
      <w:pPr>
        <w:rPr>
          <w:rFonts w:ascii="Arial" w:hAnsi="Arial" w:cs="Arial"/>
        </w:rPr>
      </w:pPr>
      <w:r>
        <w:rPr>
          <w:rFonts w:ascii="Arial" w:hAnsi="Arial" w:cs="Arial"/>
        </w:rPr>
        <w:t xml:space="preserve">(Regulation 14 CIL </w:t>
      </w:r>
      <w:proofErr w:type="spellStart"/>
      <w:r>
        <w:rPr>
          <w:rFonts w:ascii="Arial" w:hAnsi="Arial" w:cs="Arial"/>
        </w:rPr>
        <w:t>regs</w:t>
      </w:r>
      <w:proofErr w:type="spellEnd"/>
      <w:r>
        <w:rPr>
          <w:rFonts w:ascii="Arial" w:hAnsi="Arial" w:cs="Arial"/>
        </w:rPr>
        <w:t>)</w:t>
      </w:r>
    </w:p>
    <w:p w:rsidR="00A8011C" w:rsidRPr="00690317" w:rsidRDefault="00A8011C" w:rsidP="00A8011C">
      <w:pPr>
        <w:rPr>
          <w:rFonts w:ascii="Arial" w:hAnsi="Arial" w:cs="Arial"/>
        </w:rPr>
      </w:pPr>
    </w:p>
    <w:p w:rsidR="00A8011C" w:rsidRPr="00074F78" w:rsidRDefault="00A8011C" w:rsidP="00A8011C">
      <w:pPr>
        <w:rPr>
          <w:rFonts w:ascii="Arial" w:hAnsi="Arial" w:cs="Arial"/>
          <w:b/>
        </w:rPr>
      </w:pPr>
      <w:r w:rsidRPr="00074F78">
        <w:rPr>
          <w:rFonts w:ascii="Arial" w:hAnsi="Arial" w:cs="Arial"/>
          <w:b/>
        </w:rPr>
        <w:t>Setting a CIL:</w:t>
      </w:r>
    </w:p>
    <w:p w:rsidR="00A8011C" w:rsidRPr="00074F78" w:rsidRDefault="00A8011C" w:rsidP="00A8011C">
      <w:pPr>
        <w:pStyle w:val="ListParagraph"/>
        <w:numPr>
          <w:ilvl w:val="0"/>
          <w:numId w:val="3"/>
        </w:numPr>
        <w:rPr>
          <w:rFonts w:ascii="Arial" w:hAnsi="Arial" w:cs="Arial"/>
        </w:rPr>
      </w:pPr>
      <w:r w:rsidRPr="00074F78">
        <w:rPr>
          <w:rFonts w:ascii="Arial" w:hAnsi="Arial" w:cs="Arial"/>
        </w:rPr>
        <w:lastRenderedPageBreak/>
        <w:t>Using evidence from your Infrastructure Delivery Plan ( IDP) which supports your plan and growth strategy, identify your  aggregate infrastructure funding gap. This is the difference between the infrastructure that you have identified that you need to support your growth and the funding that you have identified is available from other sources. If you have a funding gap you can justify having a CIL.</w:t>
      </w:r>
    </w:p>
    <w:p w:rsidR="00A8011C" w:rsidRPr="00074F78" w:rsidRDefault="00A8011C" w:rsidP="00A8011C">
      <w:pPr>
        <w:rPr>
          <w:rFonts w:ascii="Arial" w:hAnsi="Arial" w:cs="Arial"/>
        </w:rPr>
      </w:pPr>
      <w:r w:rsidRPr="00074F78">
        <w:rPr>
          <w:rFonts w:ascii="Arial" w:hAnsi="Arial" w:cs="Arial"/>
        </w:rPr>
        <w:t xml:space="preserve"> </w:t>
      </w:r>
    </w:p>
    <w:p w:rsidR="00A8011C" w:rsidRPr="00074F78" w:rsidRDefault="00A8011C" w:rsidP="00A8011C">
      <w:pPr>
        <w:pStyle w:val="ListParagraph"/>
        <w:numPr>
          <w:ilvl w:val="0"/>
          <w:numId w:val="3"/>
        </w:numPr>
        <w:rPr>
          <w:rFonts w:ascii="Arial" w:hAnsi="Arial" w:cs="Arial"/>
        </w:rPr>
      </w:pPr>
      <w:r w:rsidRPr="00074F78">
        <w:rPr>
          <w:rFonts w:ascii="Arial" w:hAnsi="Arial" w:cs="Arial"/>
        </w:rPr>
        <w:t>You need to determine what rate is viable to charge?</w:t>
      </w:r>
    </w:p>
    <w:p w:rsidR="00A8011C" w:rsidRPr="00074F78" w:rsidRDefault="00A8011C" w:rsidP="00A8011C">
      <w:pPr>
        <w:pStyle w:val="ListParagraph"/>
        <w:numPr>
          <w:ilvl w:val="1"/>
          <w:numId w:val="3"/>
        </w:numPr>
        <w:rPr>
          <w:rFonts w:ascii="Arial" w:hAnsi="Arial" w:cs="Arial"/>
        </w:rPr>
      </w:pPr>
      <w:r w:rsidRPr="00074F78">
        <w:rPr>
          <w:rFonts w:ascii="Arial" w:hAnsi="Arial" w:cs="Arial"/>
        </w:rPr>
        <w:t>Check out the consequence of the rate on key uses</w:t>
      </w:r>
    </w:p>
    <w:p w:rsidR="00A8011C" w:rsidRPr="00074F78" w:rsidRDefault="00A8011C" w:rsidP="00A8011C">
      <w:pPr>
        <w:pStyle w:val="ListParagraph"/>
        <w:numPr>
          <w:ilvl w:val="1"/>
          <w:numId w:val="3"/>
        </w:numPr>
        <w:rPr>
          <w:rFonts w:ascii="Arial" w:hAnsi="Arial" w:cs="Arial"/>
        </w:rPr>
      </w:pPr>
      <w:r w:rsidRPr="00074F78">
        <w:rPr>
          <w:rFonts w:ascii="Arial" w:hAnsi="Arial" w:cs="Arial"/>
        </w:rPr>
        <w:t xml:space="preserve">Make sure that the rate is backed by evidence </w:t>
      </w:r>
    </w:p>
    <w:p w:rsidR="00A8011C" w:rsidRPr="00074F78" w:rsidRDefault="00A8011C" w:rsidP="00A8011C">
      <w:pPr>
        <w:pStyle w:val="ListParagraph"/>
        <w:numPr>
          <w:ilvl w:val="1"/>
          <w:numId w:val="3"/>
        </w:numPr>
        <w:rPr>
          <w:rFonts w:ascii="Arial" w:hAnsi="Arial" w:cs="Arial"/>
        </w:rPr>
      </w:pPr>
      <w:r w:rsidRPr="00074F78">
        <w:rPr>
          <w:rFonts w:ascii="Arial" w:hAnsi="Arial" w:cs="Arial"/>
        </w:rPr>
        <w:t>Consultation required</w:t>
      </w:r>
    </w:p>
    <w:p w:rsidR="00A8011C" w:rsidRDefault="00A8011C" w:rsidP="00A8011C">
      <w:pPr>
        <w:rPr>
          <w:rFonts w:ascii="Arial" w:hAnsi="Arial" w:cs="Arial"/>
          <w:color w:val="333333"/>
        </w:rPr>
      </w:pPr>
      <w:r w:rsidRPr="00074F78">
        <w:rPr>
          <w:rFonts w:ascii="Arial" w:hAnsi="Arial" w:cs="Arial"/>
        </w:rPr>
        <w:t xml:space="preserve">The purpose of checking the viability is to ensure that </w:t>
      </w:r>
      <w:r w:rsidRPr="00074F78">
        <w:rPr>
          <w:rFonts w:ascii="Arial" w:hAnsi="Arial" w:cs="Arial"/>
          <w:i/>
        </w:rPr>
        <w:t>“..</w:t>
      </w:r>
      <w:r w:rsidRPr="00074F78">
        <w:rPr>
          <w:rFonts w:ascii="Arial" w:hAnsi="Arial" w:cs="Arial"/>
          <w:i/>
          <w:color w:val="333333"/>
        </w:rPr>
        <w:t xml:space="preserve">the proposed rate or rates would not threaten delivery of the relevant Plan as a whole (for England, </w:t>
      </w:r>
      <w:hyperlink r:id="rId7" w:anchor="paragraph_173" w:history="1">
        <w:r w:rsidRPr="00074F78">
          <w:rPr>
            <w:rStyle w:val="Hyperlink"/>
            <w:rFonts w:ascii="Arial" w:eastAsiaTheme="majorEastAsia" w:hAnsi="Arial" w:cs="Arial"/>
            <w:i/>
          </w:rPr>
          <w:t>see National Planning Policy Framework paragraph 173</w:t>
        </w:r>
      </w:hyperlink>
      <w:r w:rsidRPr="00074F78">
        <w:rPr>
          <w:rFonts w:ascii="Arial" w:hAnsi="Arial" w:cs="Arial"/>
          <w:i/>
          <w:color w:val="333333"/>
        </w:rPr>
        <w:t>)”</w:t>
      </w:r>
      <w:r>
        <w:rPr>
          <w:rFonts w:ascii="Arial" w:hAnsi="Arial" w:cs="Arial"/>
          <w:color w:val="333333"/>
        </w:rPr>
        <w:t xml:space="preserve"> National planning Guidance (</w:t>
      </w:r>
      <w:r w:rsidRPr="00074F78">
        <w:rPr>
          <w:rFonts w:ascii="Arial" w:hAnsi="Arial" w:cs="Arial"/>
          <w:color w:val="333333"/>
        </w:rPr>
        <w:t>Paragraph: 038</w:t>
      </w:r>
      <w:r>
        <w:rPr>
          <w:rFonts w:ascii="Arial" w:hAnsi="Arial" w:cs="Arial"/>
          <w:color w:val="333333"/>
        </w:rPr>
        <w:t>)</w:t>
      </w:r>
    </w:p>
    <w:p w:rsidR="00A8011C" w:rsidRPr="00074F78" w:rsidRDefault="00A8011C" w:rsidP="00A8011C">
      <w:pPr>
        <w:rPr>
          <w:rFonts w:ascii="Arial" w:hAnsi="Arial" w:cs="Arial"/>
        </w:rPr>
      </w:pPr>
    </w:p>
    <w:p w:rsidR="00A8011C" w:rsidRDefault="00A8011C" w:rsidP="00A8011C">
      <w:pPr>
        <w:pStyle w:val="ListParagraph"/>
        <w:numPr>
          <w:ilvl w:val="0"/>
          <w:numId w:val="4"/>
        </w:numPr>
      </w:pPr>
      <w:r>
        <w:t>Independent examination is required to test the evidence.</w:t>
      </w:r>
    </w:p>
    <w:p w:rsidR="00A8011C" w:rsidRDefault="00A8011C" w:rsidP="00A8011C">
      <w:pPr>
        <w:rPr>
          <w:b/>
        </w:rPr>
      </w:pPr>
    </w:p>
    <w:p w:rsidR="00A8011C" w:rsidRDefault="00A8011C" w:rsidP="00A8011C">
      <w:pPr>
        <w:rPr>
          <w:rFonts w:ascii="Arial" w:hAnsi="Arial" w:cs="Arial"/>
          <w:b/>
        </w:rPr>
      </w:pPr>
      <w:r w:rsidRPr="00690317">
        <w:rPr>
          <w:rFonts w:ascii="Arial" w:hAnsi="Arial" w:cs="Arial"/>
          <w:b/>
        </w:rPr>
        <w:t xml:space="preserve">So -What </w:t>
      </w:r>
      <w:r>
        <w:rPr>
          <w:rFonts w:ascii="Arial" w:hAnsi="Arial" w:cs="Arial"/>
          <w:b/>
        </w:rPr>
        <w:t xml:space="preserve">do </w:t>
      </w:r>
      <w:r w:rsidRPr="00690317">
        <w:rPr>
          <w:rFonts w:ascii="Arial" w:hAnsi="Arial" w:cs="Arial"/>
          <w:b/>
        </w:rPr>
        <w:t>you need to set a CIL:</w:t>
      </w:r>
    </w:p>
    <w:p w:rsidR="00A8011C" w:rsidRDefault="00A8011C" w:rsidP="00A8011C">
      <w:pPr>
        <w:pStyle w:val="ListParagraph"/>
        <w:numPr>
          <w:ilvl w:val="0"/>
          <w:numId w:val="4"/>
        </w:numPr>
        <w:rPr>
          <w:rFonts w:ascii="Arial" w:hAnsi="Arial" w:cs="Arial"/>
        </w:rPr>
      </w:pPr>
      <w:r>
        <w:rPr>
          <w:rFonts w:ascii="Arial" w:hAnsi="Arial" w:cs="Arial"/>
        </w:rPr>
        <w:t>Evidence on future growth</w:t>
      </w:r>
    </w:p>
    <w:p w:rsidR="00A8011C" w:rsidRDefault="00A8011C" w:rsidP="00A8011C">
      <w:pPr>
        <w:pStyle w:val="ListParagraph"/>
        <w:numPr>
          <w:ilvl w:val="0"/>
          <w:numId w:val="4"/>
        </w:numPr>
        <w:rPr>
          <w:rFonts w:ascii="Arial" w:hAnsi="Arial" w:cs="Arial"/>
        </w:rPr>
      </w:pPr>
      <w:r>
        <w:rPr>
          <w:rFonts w:ascii="Arial" w:hAnsi="Arial" w:cs="Arial"/>
        </w:rPr>
        <w:t>Up to date development plan is desirable but not essential</w:t>
      </w:r>
    </w:p>
    <w:p w:rsidR="00A8011C" w:rsidRPr="00A8011C" w:rsidRDefault="00A8011C" w:rsidP="00A8011C">
      <w:pPr>
        <w:pStyle w:val="ListParagraph"/>
        <w:numPr>
          <w:ilvl w:val="0"/>
          <w:numId w:val="4"/>
        </w:numPr>
        <w:rPr>
          <w:rFonts w:ascii="Arial" w:hAnsi="Arial" w:cs="Arial"/>
        </w:rPr>
      </w:pPr>
      <w:r w:rsidRPr="00A8011C">
        <w:rPr>
          <w:rFonts w:ascii="Arial" w:hAnsi="Arial" w:cs="Arial"/>
        </w:rPr>
        <w:t>Evidence on infrastructure funding gap – aggregate gap</w:t>
      </w:r>
    </w:p>
    <w:p w:rsidR="00A8011C" w:rsidRDefault="00A8011C" w:rsidP="00A8011C">
      <w:pPr>
        <w:pStyle w:val="ListParagraph"/>
        <w:numPr>
          <w:ilvl w:val="0"/>
          <w:numId w:val="4"/>
        </w:numPr>
        <w:rPr>
          <w:rFonts w:ascii="Arial" w:hAnsi="Arial" w:cs="Arial"/>
        </w:rPr>
      </w:pPr>
      <w:r w:rsidRPr="00690317">
        <w:rPr>
          <w:rFonts w:ascii="Arial" w:hAnsi="Arial" w:cs="Arial"/>
        </w:rPr>
        <w:t xml:space="preserve">Evidence on viability </w:t>
      </w:r>
    </w:p>
    <w:p w:rsidR="00A8011C" w:rsidRPr="00690317" w:rsidRDefault="00A8011C" w:rsidP="00A8011C">
      <w:pPr>
        <w:pStyle w:val="ListParagraph"/>
        <w:numPr>
          <w:ilvl w:val="0"/>
          <w:numId w:val="4"/>
        </w:numPr>
        <w:rPr>
          <w:rFonts w:ascii="Arial" w:hAnsi="Arial" w:cs="Arial"/>
        </w:rPr>
      </w:pPr>
      <w:r w:rsidRPr="00690317">
        <w:rPr>
          <w:rFonts w:ascii="Arial" w:hAnsi="Arial" w:cs="Arial"/>
        </w:rPr>
        <w:t>All evidence is ‘appropriate available evidence’</w:t>
      </w:r>
    </w:p>
    <w:p w:rsidR="00A8011C" w:rsidRDefault="00A8011C" w:rsidP="00A8011C">
      <w:pPr>
        <w:pStyle w:val="ListParagraph"/>
        <w:numPr>
          <w:ilvl w:val="0"/>
          <w:numId w:val="4"/>
        </w:numPr>
        <w:rPr>
          <w:rFonts w:ascii="Arial" w:hAnsi="Arial" w:cs="Arial"/>
        </w:rPr>
      </w:pPr>
      <w:r w:rsidRPr="00690317">
        <w:rPr>
          <w:rFonts w:ascii="Arial" w:hAnsi="Arial" w:cs="Arial"/>
        </w:rPr>
        <w:t>Rates should be consistent with viability evidence across the area</w:t>
      </w:r>
      <w:r>
        <w:rPr>
          <w:rFonts w:ascii="Arial" w:hAnsi="Arial" w:cs="Arial"/>
        </w:rPr>
        <w:t xml:space="preserve"> – to avoid accusations of state aid.</w:t>
      </w:r>
    </w:p>
    <w:p w:rsidR="00A8011C" w:rsidRDefault="00A8011C" w:rsidP="00A8011C">
      <w:pPr>
        <w:pStyle w:val="ListParagraph"/>
        <w:numPr>
          <w:ilvl w:val="0"/>
          <w:numId w:val="4"/>
        </w:numPr>
        <w:rPr>
          <w:rFonts w:ascii="Arial" w:hAnsi="Arial" w:cs="Arial"/>
        </w:rPr>
      </w:pPr>
    </w:p>
    <w:p w:rsidR="00A8011C" w:rsidRPr="00690317" w:rsidRDefault="00A8011C" w:rsidP="00A8011C">
      <w:pPr>
        <w:rPr>
          <w:rFonts w:ascii="Arial" w:hAnsi="Arial" w:cs="Arial"/>
          <w:b/>
        </w:rPr>
      </w:pPr>
      <w:r w:rsidRPr="00690317">
        <w:rPr>
          <w:rFonts w:ascii="Arial" w:hAnsi="Arial" w:cs="Arial"/>
          <w:b/>
        </w:rPr>
        <w:t>Viability Rate Setting</w:t>
      </w:r>
      <w:r>
        <w:rPr>
          <w:rFonts w:ascii="Arial" w:hAnsi="Arial" w:cs="Arial"/>
          <w:b/>
        </w:rPr>
        <w:t>:</w:t>
      </w:r>
    </w:p>
    <w:p w:rsidR="00A8011C" w:rsidRPr="00690317" w:rsidRDefault="00A8011C" w:rsidP="00A8011C">
      <w:pPr>
        <w:pStyle w:val="ListParagraph"/>
        <w:numPr>
          <w:ilvl w:val="0"/>
          <w:numId w:val="5"/>
        </w:numPr>
        <w:rPr>
          <w:rFonts w:ascii="Arial" w:hAnsi="Arial" w:cs="Arial"/>
        </w:rPr>
      </w:pPr>
      <w:r w:rsidRPr="00690317">
        <w:rPr>
          <w:rFonts w:ascii="Arial" w:hAnsi="Arial" w:cs="Arial"/>
        </w:rPr>
        <w:t>Take a strategic approach</w:t>
      </w:r>
    </w:p>
    <w:p w:rsidR="00A8011C" w:rsidRPr="00690317" w:rsidRDefault="00A8011C" w:rsidP="00A8011C">
      <w:pPr>
        <w:pStyle w:val="ListParagraph"/>
        <w:numPr>
          <w:ilvl w:val="0"/>
          <w:numId w:val="5"/>
        </w:numPr>
        <w:rPr>
          <w:rFonts w:ascii="Arial" w:hAnsi="Arial" w:cs="Arial"/>
        </w:rPr>
      </w:pPr>
      <w:r w:rsidRPr="00690317">
        <w:rPr>
          <w:rFonts w:ascii="Arial" w:hAnsi="Arial" w:cs="Arial"/>
        </w:rPr>
        <w:t>Look at the effect on the whole area</w:t>
      </w:r>
      <w:r>
        <w:rPr>
          <w:rFonts w:ascii="Arial" w:hAnsi="Arial" w:cs="Arial"/>
        </w:rPr>
        <w:t xml:space="preserve"> of the rates on the whole area – but focus on where your development will take place, do not waste time looking at areas where there is not planned development and very likely to be much</w:t>
      </w:r>
    </w:p>
    <w:p w:rsidR="00A8011C" w:rsidRPr="00690317" w:rsidRDefault="00A8011C" w:rsidP="00A8011C">
      <w:pPr>
        <w:pStyle w:val="ListParagraph"/>
        <w:numPr>
          <w:ilvl w:val="0"/>
          <w:numId w:val="5"/>
        </w:numPr>
        <w:rPr>
          <w:rFonts w:ascii="Arial" w:hAnsi="Arial" w:cs="Arial"/>
        </w:rPr>
      </w:pPr>
      <w:r w:rsidRPr="00690317">
        <w:rPr>
          <w:rFonts w:ascii="Arial" w:hAnsi="Arial" w:cs="Arial"/>
        </w:rPr>
        <w:t>Sampling is advisable particularly if you have strategic sites or a high level of differentiation of rates</w:t>
      </w:r>
    </w:p>
    <w:p w:rsidR="00A8011C" w:rsidRPr="00690317" w:rsidRDefault="00A8011C" w:rsidP="00A8011C">
      <w:pPr>
        <w:pStyle w:val="ListParagraph"/>
        <w:numPr>
          <w:ilvl w:val="0"/>
          <w:numId w:val="5"/>
        </w:numPr>
        <w:rPr>
          <w:rFonts w:ascii="Arial" w:hAnsi="Arial" w:cs="Arial"/>
        </w:rPr>
      </w:pPr>
      <w:r w:rsidRPr="00690317">
        <w:rPr>
          <w:rFonts w:ascii="Arial" w:hAnsi="Arial" w:cs="Arial"/>
        </w:rPr>
        <w:t>The rate may put some development at risk</w:t>
      </w:r>
    </w:p>
    <w:p w:rsidR="00A8011C" w:rsidRPr="00690317" w:rsidRDefault="00A8011C" w:rsidP="00A8011C">
      <w:pPr>
        <w:pStyle w:val="ListParagraph"/>
        <w:numPr>
          <w:ilvl w:val="0"/>
          <w:numId w:val="5"/>
        </w:numPr>
        <w:rPr>
          <w:rFonts w:ascii="Arial" w:hAnsi="Arial" w:cs="Arial"/>
        </w:rPr>
      </w:pPr>
      <w:r>
        <w:rPr>
          <w:rFonts w:ascii="Arial" w:hAnsi="Arial" w:cs="Arial"/>
        </w:rPr>
        <w:t>There is no</w:t>
      </w:r>
      <w:r w:rsidRPr="00690317">
        <w:rPr>
          <w:rFonts w:ascii="Arial" w:hAnsi="Arial" w:cs="Arial"/>
        </w:rPr>
        <w:t xml:space="preserve"> requirement to use any particular</w:t>
      </w:r>
      <w:r>
        <w:rPr>
          <w:rFonts w:ascii="Arial" w:hAnsi="Arial" w:cs="Arial"/>
        </w:rPr>
        <w:t xml:space="preserve"> viability</w:t>
      </w:r>
      <w:r w:rsidRPr="00690317">
        <w:rPr>
          <w:rFonts w:ascii="Arial" w:hAnsi="Arial" w:cs="Arial"/>
        </w:rPr>
        <w:t xml:space="preserve"> models</w:t>
      </w:r>
      <w:r>
        <w:rPr>
          <w:rFonts w:ascii="Arial" w:hAnsi="Arial" w:cs="Arial"/>
        </w:rPr>
        <w:t xml:space="preserve"> – but make sure it is transparent and you understand it.</w:t>
      </w:r>
    </w:p>
    <w:p w:rsidR="00A8011C" w:rsidRPr="00690317" w:rsidRDefault="00A8011C" w:rsidP="00A8011C">
      <w:pPr>
        <w:pStyle w:val="ListParagraph"/>
        <w:numPr>
          <w:ilvl w:val="0"/>
          <w:numId w:val="5"/>
        </w:numPr>
        <w:rPr>
          <w:rFonts w:ascii="Arial" w:hAnsi="Arial" w:cs="Arial"/>
        </w:rPr>
      </w:pPr>
      <w:r>
        <w:rPr>
          <w:rFonts w:ascii="Arial" w:hAnsi="Arial" w:cs="Arial"/>
        </w:rPr>
        <w:t>You c</w:t>
      </w:r>
      <w:r w:rsidRPr="00690317">
        <w:rPr>
          <w:rFonts w:ascii="Arial" w:hAnsi="Arial" w:cs="Arial"/>
        </w:rPr>
        <w:t>an se</w:t>
      </w:r>
      <w:r>
        <w:rPr>
          <w:rFonts w:ascii="Arial" w:hAnsi="Arial" w:cs="Arial"/>
        </w:rPr>
        <w:t>t differential rates – but rate</w:t>
      </w:r>
      <w:r w:rsidRPr="00690317">
        <w:rPr>
          <w:rFonts w:ascii="Arial" w:hAnsi="Arial" w:cs="Arial"/>
        </w:rPr>
        <w:t>s can only be diff</w:t>
      </w:r>
      <w:r>
        <w:rPr>
          <w:rFonts w:ascii="Arial" w:hAnsi="Arial" w:cs="Arial"/>
        </w:rPr>
        <w:t>erentiated on viability grounds ( not policy grounds)</w:t>
      </w:r>
    </w:p>
    <w:p w:rsidR="00A8011C" w:rsidRPr="00690317" w:rsidRDefault="00A8011C" w:rsidP="00A8011C">
      <w:pPr>
        <w:rPr>
          <w:rFonts w:ascii="Arial" w:hAnsi="Arial" w:cs="Arial"/>
        </w:rPr>
      </w:pPr>
    </w:p>
    <w:p w:rsidR="00A8011C" w:rsidRDefault="00A8011C" w:rsidP="00A8011C">
      <w:pPr>
        <w:rPr>
          <w:rFonts w:ascii="Arial" w:hAnsi="Arial" w:cs="Arial"/>
        </w:rPr>
      </w:pPr>
      <w:r w:rsidRPr="00690317">
        <w:rPr>
          <w:rFonts w:ascii="Arial" w:hAnsi="Arial" w:cs="Arial"/>
        </w:rPr>
        <w:t>Note: If there is a CIL, a rate must be set for every use</w:t>
      </w:r>
      <w:r>
        <w:rPr>
          <w:rFonts w:ascii="Arial" w:hAnsi="Arial" w:cs="Arial"/>
        </w:rPr>
        <w:t xml:space="preserve"> (even if that is zero- but should be justified by evidence)</w:t>
      </w:r>
      <w:r w:rsidRPr="00690317">
        <w:rPr>
          <w:rFonts w:ascii="Arial" w:hAnsi="Arial" w:cs="Arial"/>
        </w:rPr>
        <w:t>.</w:t>
      </w:r>
    </w:p>
    <w:p w:rsidR="00A8011C" w:rsidRPr="007B52DA" w:rsidRDefault="00A8011C" w:rsidP="00A8011C">
      <w:pPr>
        <w:rPr>
          <w:rFonts w:ascii="Arial" w:hAnsi="Arial" w:cs="Arial"/>
          <w:b/>
        </w:rPr>
      </w:pPr>
    </w:p>
    <w:p w:rsidR="00A8011C" w:rsidRPr="007B52DA" w:rsidRDefault="00A8011C" w:rsidP="00A8011C">
      <w:pPr>
        <w:rPr>
          <w:rFonts w:ascii="Arial" w:hAnsi="Arial" w:cs="Arial"/>
          <w:b/>
        </w:rPr>
      </w:pPr>
      <w:r w:rsidRPr="007B52DA">
        <w:rPr>
          <w:rFonts w:ascii="Arial" w:hAnsi="Arial" w:cs="Arial"/>
          <w:b/>
        </w:rPr>
        <w:t>Differential rates:</w:t>
      </w:r>
    </w:p>
    <w:p w:rsidR="00A8011C" w:rsidRPr="007B52DA" w:rsidRDefault="00A8011C" w:rsidP="00A8011C">
      <w:pPr>
        <w:pStyle w:val="ListParagraph"/>
        <w:numPr>
          <w:ilvl w:val="0"/>
          <w:numId w:val="7"/>
        </w:numPr>
        <w:rPr>
          <w:rFonts w:ascii="Arial" w:hAnsi="Arial" w:cs="Arial"/>
        </w:rPr>
      </w:pPr>
      <w:r w:rsidRPr="007B52DA">
        <w:rPr>
          <w:rFonts w:ascii="Arial" w:hAnsi="Arial" w:cs="Arial"/>
        </w:rPr>
        <w:t>The rates can be different between:</w:t>
      </w:r>
    </w:p>
    <w:p w:rsidR="00A8011C" w:rsidRDefault="00A8011C" w:rsidP="00A8011C">
      <w:pPr>
        <w:pStyle w:val="ListParagraph"/>
        <w:numPr>
          <w:ilvl w:val="1"/>
          <w:numId w:val="6"/>
        </w:numPr>
        <w:rPr>
          <w:rFonts w:ascii="Arial" w:hAnsi="Arial" w:cs="Arial"/>
        </w:rPr>
      </w:pPr>
      <w:r w:rsidRPr="007B52DA">
        <w:rPr>
          <w:rFonts w:ascii="Arial" w:hAnsi="Arial" w:cs="Arial"/>
        </w:rPr>
        <w:t>uses (not just use classes)</w:t>
      </w:r>
    </w:p>
    <w:p w:rsidR="00A8011C" w:rsidRDefault="00A8011C" w:rsidP="00A8011C">
      <w:pPr>
        <w:pStyle w:val="ListParagraph"/>
        <w:numPr>
          <w:ilvl w:val="1"/>
          <w:numId w:val="6"/>
        </w:numPr>
        <w:rPr>
          <w:rFonts w:ascii="Arial" w:hAnsi="Arial" w:cs="Arial"/>
        </w:rPr>
      </w:pPr>
      <w:r w:rsidRPr="007B52DA">
        <w:rPr>
          <w:rFonts w:ascii="Arial" w:hAnsi="Arial" w:cs="Arial"/>
        </w:rPr>
        <w:t xml:space="preserve">Different across the geographic area </w:t>
      </w:r>
    </w:p>
    <w:p w:rsidR="00A8011C" w:rsidRDefault="00A8011C" w:rsidP="00A8011C">
      <w:pPr>
        <w:pStyle w:val="ListParagraph"/>
        <w:numPr>
          <w:ilvl w:val="1"/>
          <w:numId w:val="6"/>
        </w:numPr>
        <w:rPr>
          <w:rFonts w:ascii="Arial" w:hAnsi="Arial" w:cs="Arial"/>
        </w:rPr>
      </w:pPr>
      <w:r w:rsidRPr="007B52DA">
        <w:rPr>
          <w:rFonts w:ascii="Arial" w:hAnsi="Arial" w:cs="Arial"/>
        </w:rPr>
        <w:t>Scale of development</w:t>
      </w:r>
    </w:p>
    <w:p w:rsidR="00A8011C" w:rsidRPr="007B52DA" w:rsidRDefault="00A8011C" w:rsidP="00A8011C">
      <w:pPr>
        <w:pStyle w:val="ListParagraph"/>
        <w:numPr>
          <w:ilvl w:val="1"/>
          <w:numId w:val="6"/>
        </w:numPr>
        <w:rPr>
          <w:rFonts w:ascii="Arial" w:hAnsi="Arial" w:cs="Arial"/>
        </w:rPr>
      </w:pPr>
      <w:r w:rsidRPr="007B52DA">
        <w:rPr>
          <w:rFonts w:ascii="Arial" w:hAnsi="Arial" w:cs="Arial"/>
        </w:rPr>
        <w:t>(Or a combination of the above)</w:t>
      </w:r>
    </w:p>
    <w:p w:rsidR="00A8011C" w:rsidRDefault="00A8011C" w:rsidP="00A8011C">
      <w:pPr>
        <w:rPr>
          <w:rFonts w:ascii="Arial" w:hAnsi="Arial" w:cs="Arial"/>
        </w:rPr>
      </w:pPr>
    </w:p>
    <w:p w:rsidR="00A8011C" w:rsidRPr="007B52DA" w:rsidRDefault="00A8011C" w:rsidP="00A8011C">
      <w:pPr>
        <w:rPr>
          <w:rFonts w:ascii="Arial" w:hAnsi="Arial" w:cs="Arial"/>
        </w:rPr>
      </w:pPr>
      <w:r w:rsidRPr="007B52DA">
        <w:rPr>
          <w:rFonts w:ascii="Arial" w:hAnsi="Arial" w:cs="Arial"/>
        </w:rPr>
        <w:t>All differential rates must be based on viability evidence (not policy objectives)</w:t>
      </w:r>
    </w:p>
    <w:p w:rsidR="00A8011C" w:rsidRDefault="00A8011C" w:rsidP="00A8011C">
      <w:pPr>
        <w:rPr>
          <w:rFonts w:ascii="Arial" w:hAnsi="Arial" w:cs="Arial"/>
        </w:rPr>
      </w:pPr>
      <w:r w:rsidRPr="007B52DA">
        <w:rPr>
          <w:rFonts w:ascii="Arial" w:hAnsi="Arial" w:cs="Arial"/>
        </w:rPr>
        <w:t>It is up to the charging authority to satisfy state aid requirements</w:t>
      </w:r>
    </w:p>
    <w:p w:rsidR="00A8011C" w:rsidRDefault="00A8011C" w:rsidP="00A8011C">
      <w:pPr>
        <w:rPr>
          <w:rFonts w:ascii="Arial" w:hAnsi="Arial" w:cs="Arial"/>
        </w:rPr>
      </w:pPr>
    </w:p>
    <w:p w:rsidR="00A8011C" w:rsidRPr="001C2D40" w:rsidRDefault="00A8011C" w:rsidP="00A8011C">
      <w:pPr>
        <w:rPr>
          <w:rFonts w:ascii="Arial" w:hAnsi="Arial" w:cs="Arial"/>
          <w:b/>
        </w:rPr>
      </w:pPr>
      <w:r w:rsidRPr="001C2D40">
        <w:rPr>
          <w:rFonts w:ascii="Arial" w:hAnsi="Arial" w:cs="Arial"/>
          <w:b/>
        </w:rPr>
        <w:t>How is the Levy charged:</w:t>
      </w:r>
    </w:p>
    <w:p w:rsidR="00A8011C" w:rsidRDefault="00A8011C" w:rsidP="00A8011C">
      <w:pPr>
        <w:rPr>
          <w:rFonts w:ascii="Arial" w:hAnsi="Arial" w:cs="Arial"/>
        </w:rPr>
      </w:pPr>
    </w:p>
    <w:p w:rsidR="00A8011C" w:rsidRPr="00690317" w:rsidRDefault="00A8011C" w:rsidP="00A8011C">
      <w:pPr>
        <w:rPr>
          <w:rFonts w:ascii="Arial" w:hAnsi="Arial" w:cs="Arial"/>
        </w:rPr>
      </w:pPr>
      <w:r>
        <w:rPr>
          <w:rFonts w:ascii="Arial" w:hAnsi="Arial" w:cs="Arial"/>
        </w:rPr>
        <w:t>It is u</w:t>
      </w:r>
      <w:r w:rsidRPr="001C2D40">
        <w:rPr>
          <w:rFonts w:ascii="Arial" w:hAnsi="Arial" w:cs="Arial"/>
        </w:rPr>
        <w:t xml:space="preserve">sually </w:t>
      </w:r>
      <w:r>
        <w:rPr>
          <w:rFonts w:ascii="Arial" w:hAnsi="Arial" w:cs="Arial"/>
        </w:rPr>
        <w:t xml:space="preserve">a </w:t>
      </w:r>
      <w:r w:rsidRPr="001C2D40">
        <w:rPr>
          <w:rFonts w:ascii="Arial" w:hAnsi="Arial" w:cs="Arial"/>
        </w:rPr>
        <w:t>cash contribution but also payment in kind -  land or infrastructure</w:t>
      </w:r>
      <w:r>
        <w:rPr>
          <w:rFonts w:ascii="Arial" w:hAnsi="Arial" w:cs="Arial"/>
        </w:rPr>
        <w:t>. The payment f</w:t>
      </w:r>
      <w:r w:rsidRPr="001C2D40">
        <w:rPr>
          <w:rFonts w:ascii="Arial" w:hAnsi="Arial" w:cs="Arial"/>
        </w:rPr>
        <w:t>alls due on commencement of the development but the Charging Authority can agree to payment by instalments</w:t>
      </w:r>
      <w:r>
        <w:rPr>
          <w:rFonts w:ascii="Arial" w:hAnsi="Arial" w:cs="Arial"/>
        </w:rPr>
        <w:t>.</w:t>
      </w:r>
    </w:p>
    <w:p w:rsidR="00142AFC" w:rsidRDefault="00142AFC"/>
    <w:sectPr w:rsidR="00142AF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24E62"/>
    <w:multiLevelType w:val="hybridMultilevel"/>
    <w:tmpl w:val="A4528D3C"/>
    <w:lvl w:ilvl="0" w:tplc="E59649E0">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5C65DE"/>
    <w:multiLevelType w:val="hybridMultilevel"/>
    <w:tmpl w:val="1DE0718A"/>
    <w:lvl w:ilvl="0" w:tplc="E59649E0">
      <w:start w:val="1"/>
      <w:numFmt w:val="bullet"/>
      <w:lvlText w:val="•"/>
      <w:lvlJc w:val="left"/>
      <w:pPr>
        <w:tabs>
          <w:tab w:val="num" w:pos="720"/>
        </w:tabs>
        <w:ind w:left="720" w:hanging="360"/>
      </w:pPr>
      <w:rPr>
        <w:rFonts w:ascii="Times New Roman" w:hAnsi="Times New Roman" w:hint="default"/>
      </w:rPr>
    </w:lvl>
    <w:lvl w:ilvl="1" w:tplc="E59649E0">
      <w:start w:val="1"/>
      <w:numFmt w:val="bullet"/>
      <w:lvlText w:val="•"/>
      <w:lvlJc w:val="left"/>
      <w:pPr>
        <w:ind w:left="1440" w:hanging="360"/>
      </w:pPr>
      <w:rPr>
        <w:rFonts w:ascii="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C96CEF"/>
    <w:multiLevelType w:val="hybridMultilevel"/>
    <w:tmpl w:val="EBC21D22"/>
    <w:lvl w:ilvl="0" w:tplc="E59649E0">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AA0E19"/>
    <w:multiLevelType w:val="hybridMultilevel"/>
    <w:tmpl w:val="25FEDEE0"/>
    <w:lvl w:ilvl="0" w:tplc="FAB478AC">
      <w:start w:val="1"/>
      <w:numFmt w:val="bullet"/>
      <w:lvlText w:val="•"/>
      <w:lvlJc w:val="left"/>
      <w:pPr>
        <w:tabs>
          <w:tab w:val="num" w:pos="720"/>
        </w:tabs>
        <w:ind w:left="720" w:hanging="360"/>
      </w:pPr>
      <w:rPr>
        <w:rFonts w:ascii="Times New Roman" w:hAnsi="Times New Roman" w:hint="default"/>
      </w:rPr>
    </w:lvl>
    <w:lvl w:ilvl="1" w:tplc="BA223D46" w:tentative="1">
      <w:start w:val="1"/>
      <w:numFmt w:val="bullet"/>
      <w:lvlText w:val="•"/>
      <w:lvlJc w:val="left"/>
      <w:pPr>
        <w:tabs>
          <w:tab w:val="num" w:pos="1440"/>
        </w:tabs>
        <w:ind w:left="1440" w:hanging="360"/>
      </w:pPr>
      <w:rPr>
        <w:rFonts w:ascii="Times New Roman" w:hAnsi="Times New Roman" w:hint="default"/>
      </w:rPr>
    </w:lvl>
    <w:lvl w:ilvl="2" w:tplc="FA8C509E" w:tentative="1">
      <w:start w:val="1"/>
      <w:numFmt w:val="bullet"/>
      <w:lvlText w:val="•"/>
      <w:lvlJc w:val="left"/>
      <w:pPr>
        <w:tabs>
          <w:tab w:val="num" w:pos="2160"/>
        </w:tabs>
        <w:ind w:left="2160" w:hanging="360"/>
      </w:pPr>
      <w:rPr>
        <w:rFonts w:ascii="Times New Roman" w:hAnsi="Times New Roman" w:hint="default"/>
      </w:rPr>
    </w:lvl>
    <w:lvl w:ilvl="3" w:tplc="0DBA1BBA" w:tentative="1">
      <w:start w:val="1"/>
      <w:numFmt w:val="bullet"/>
      <w:lvlText w:val="•"/>
      <w:lvlJc w:val="left"/>
      <w:pPr>
        <w:tabs>
          <w:tab w:val="num" w:pos="2880"/>
        </w:tabs>
        <w:ind w:left="2880" w:hanging="360"/>
      </w:pPr>
      <w:rPr>
        <w:rFonts w:ascii="Times New Roman" w:hAnsi="Times New Roman" w:hint="default"/>
      </w:rPr>
    </w:lvl>
    <w:lvl w:ilvl="4" w:tplc="F50460A6" w:tentative="1">
      <w:start w:val="1"/>
      <w:numFmt w:val="bullet"/>
      <w:lvlText w:val="•"/>
      <w:lvlJc w:val="left"/>
      <w:pPr>
        <w:tabs>
          <w:tab w:val="num" w:pos="3600"/>
        </w:tabs>
        <w:ind w:left="3600" w:hanging="360"/>
      </w:pPr>
      <w:rPr>
        <w:rFonts w:ascii="Times New Roman" w:hAnsi="Times New Roman" w:hint="default"/>
      </w:rPr>
    </w:lvl>
    <w:lvl w:ilvl="5" w:tplc="36C808C2" w:tentative="1">
      <w:start w:val="1"/>
      <w:numFmt w:val="bullet"/>
      <w:lvlText w:val="•"/>
      <w:lvlJc w:val="left"/>
      <w:pPr>
        <w:tabs>
          <w:tab w:val="num" w:pos="4320"/>
        </w:tabs>
        <w:ind w:left="4320" w:hanging="360"/>
      </w:pPr>
      <w:rPr>
        <w:rFonts w:ascii="Times New Roman" w:hAnsi="Times New Roman" w:hint="default"/>
      </w:rPr>
    </w:lvl>
    <w:lvl w:ilvl="6" w:tplc="3550998A" w:tentative="1">
      <w:start w:val="1"/>
      <w:numFmt w:val="bullet"/>
      <w:lvlText w:val="•"/>
      <w:lvlJc w:val="left"/>
      <w:pPr>
        <w:tabs>
          <w:tab w:val="num" w:pos="5040"/>
        </w:tabs>
        <w:ind w:left="5040" w:hanging="360"/>
      </w:pPr>
      <w:rPr>
        <w:rFonts w:ascii="Times New Roman" w:hAnsi="Times New Roman" w:hint="default"/>
      </w:rPr>
    </w:lvl>
    <w:lvl w:ilvl="7" w:tplc="F196936C" w:tentative="1">
      <w:start w:val="1"/>
      <w:numFmt w:val="bullet"/>
      <w:lvlText w:val="•"/>
      <w:lvlJc w:val="left"/>
      <w:pPr>
        <w:tabs>
          <w:tab w:val="num" w:pos="5760"/>
        </w:tabs>
        <w:ind w:left="5760" w:hanging="360"/>
      </w:pPr>
      <w:rPr>
        <w:rFonts w:ascii="Times New Roman" w:hAnsi="Times New Roman" w:hint="default"/>
      </w:rPr>
    </w:lvl>
    <w:lvl w:ilvl="8" w:tplc="2A404FD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271242D"/>
    <w:multiLevelType w:val="hybridMultilevel"/>
    <w:tmpl w:val="3CD89142"/>
    <w:lvl w:ilvl="0" w:tplc="E59649E0">
      <w:start w:val="1"/>
      <w:numFmt w:val="bullet"/>
      <w:lvlText w:val="•"/>
      <w:lvlJc w:val="left"/>
      <w:pPr>
        <w:ind w:left="783" w:hanging="360"/>
      </w:pPr>
      <w:rPr>
        <w:rFonts w:ascii="Times New Roman" w:hAnsi="Times New Roman" w:hint="default"/>
      </w:rPr>
    </w:lvl>
    <w:lvl w:ilvl="1" w:tplc="08090003">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5" w15:restartNumberingAfterBreak="0">
    <w:nsid w:val="55C81E6F"/>
    <w:multiLevelType w:val="hybridMultilevel"/>
    <w:tmpl w:val="88C4443A"/>
    <w:lvl w:ilvl="0" w:tplc="E59649E0">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3B4840"/>
    <w:multiLevelType w:val="hybridMultilevel"/>
    <w:tmpl w:val="2996B1A2"/>
    <w:lvl w:ilvl="0" w:tplc="E59649E0">
      <w:start w:val="1"/>
      <w:numFmt w:val="bullet"/>
      <w:lvlText w:val="•"/>
      <w:lvlJc w:val="left"/>
      <w:pPr>
        <w:tabs>
          <w:tab w:val="num" w:pos="720"/>
        </w:tabs>
        <w:ind w:left="720" w:hanging="360"/>
      </w:pPr>
      <w:rPr>
        <w:rFonts w:ascii="Times New Roman" w:hAnsi="Times New Roman" w:hint="default"/>
      </w:rPr>
    </w:lvl>
    <w:lvl w:ilvl="1" w:tplc="923A37F8">
      <w:start w:val="1"/>
      <w:numFmt w:val="bullet"/>
      <w:lvlText w:val="•"/>
      <w:lvlJc w:val="left"/>
      <w:pPr>
        <w:tabs>
          <w:tab w:val="num" w:pos="1440"/>
        </w:tabs>
        <w:ind w:left="1440" w:hanging="360"/>
      </w:pPr>
      <w:rPr>
        <w:rFonts w:ascii="Times New Roman" w:hAnsi="Times New Roman" w:hint="default"/>
      </w:rPr>
    </w:lvl>
    <w:lvl w:ilvl="2" w:tplc="87FEC540" w:tentative="1">
      <w:start w:val="1"/>
      <w:numFmt w:val="bullet"/>
      <w:lvlText w:val="•"/>
      <w:lvlJc w:val="left"/>
      <w:pPr>
        <w:tabs>
          <w:tab w:val="num" w:pos="2160"/>
        </w:tabs>
        <w:ind w:left="2160" w:hanging="360"/>
      </w:pPr>
      <w:rPr>
        <w:rFonts w:ascii="Times New Roman" w:hAnsi="Times New Roman" w:hint="default"/>
      </w:rPr>
    </w:lvl>
    <w:lvl w:ilvl="3" w:tplc="B67E9906" w:tentative="1">
      <w:start w:val="1"/>
      <w:numFmt w:val="bullet"/>
      <w:lvlText w:val="•"/>
      <w:lvlJc w:val="left"/>
      <w:pPr>
        <w:tabs>
          <w:tab w:val="num" w:pos="2880"/>
        </w:tabs>
        <w:ind w:left="2880" w:hanging="360"/>
      </w:pPr>
      <w:rPr>
        <w:rFonts w:ascii="Times New Roman" w:hAnsi="Times New Roman" w:hint="default"/>
      </w:rPr>
    </w:lvl>
    <w:lvl w:ilvl="4" w:tplc="20C4784E" w:tentative="1">
      <w:start w:val="1"/>
      <w:numFmt w:val="bullet"/>
      <w:lvlText w:val="•"/>
      <w:lvlJc w:val="left"/>
      <w:pPr>
        <w:tabs>
          <w:tab w:val="num" w:pos="3600"/>
        </w:tabs>
        <w:ind w:left="3600" w:hanging="360"/>
      </w:pPr>
      <w:rPr>
        <w:rFonts w:ascii="Times New Roman" w:hAnsi="Times New Roman" w:hint="default"/>
      </w:rPr>
    </w:lvl>
    <w:lvl w:ilvl="5" w:tplc="B07C2C64" w:tentative="1">
      <w:start w:val="1"/>
      <w:numFmt w:val="bullet"/>
      <w:lvlText w:val="•"/>
      <w:lvlJc w:val="left"/>
      <w:pPr>
        <w:tabs>
          <w:tab w:val="num" w:pos="4320"/>
        </w:tabs>
        <w:ind w:left="4320" w:hanging="360"/>
      </w:pPr>
      <w:rPr>
        <w:rFonts w:ascii="Times New Roman" w:hAnsi="Times New Roman" w:hint="default"/>
      </w:rPr>
    </w:lvl>
    <w:lvl w:ilvl="6" w:tplc="5BA43256" w:tentative="1">
      <w:start w:val="1"/>
      <w:numFmt w:val="bullet"/>
      <w:lvlText w:val="•"/>
      <w:lvlJc w:val="left"/>
      <w:pPr>
        <w:tabs>
          <w:tab w:val="num" w:pos="5040"/>
        </w:tabs>
        <w:ind w:left="5040" w:hanging="360"/>
      </w:pPr>
      <w:rPr>
        <w:rFonts w:ascii="Times New Roman" w:hAnsi="Times New Roman" w:hint="default"/>
      </w:rPr>
    </w:lvl>
    <w:lvl w:ilvl="7" w:tplc="575E484E" w:tentative="1">
      <w:start w:val="1"/>
      <w:numFmt w:val="bullet"/>
      <w:lvlText w:val="•"/>
      <w:lvlJc w:val="left"/>
      <w:pPr>
        <w:tabs>
          <w:tab w:val="num" w:pos="5760"/>
        </w:tabs>
        <w:ind w:left="5760" w:hanging="360"/>
      </w:pPr>
      <w:rPr>
        <w:rFonts w:ascii="Times New Roman" w:hAnsi="Times New Roman" w:hint="default"/>
      </w:rPr>
    </w:lvl>
    <w:lvl w:ilvl="8" w:tplc="313A0D94"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6"/>
  </w:num>
  <w:num w:numId="3">
    <w:abstractNumId w:val="1"/>
  </w:num>
  <w:num w:numId="4">
    <w:abstractNumId w:val="5"/>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11C"/>
    <w:rsid w:val="00142AFC"/>
    <w:rsid w:val="003B2C5E"/>
    <w:rsid w:val="005C0284"/>
    <w:rsid w:val="00A8011C"/>
    <w:rsid w:val="00E04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F7D6E9-B913-4C90-8D93-6650292F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11C"/>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3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lanningguidance.planningportal.gov.uk/blog/policy/achieving-sustainable-development/plan-mak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uk/guidance/community-infrastructure-lev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y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3</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Kalyn Franke</dc:creator>
  <cp:keywords/>
  <dc:description/>
  <cp:lastModifiedBy>Scott Phillips</cp:lastModifiedBy>
  <cp:revision>2</cp:revision>
  <dcterms:created xsi:type="dcterms:W3CDTF">2017-01-30T11:20:00Z</dcterms:created>
  <dcterms:modified xsi:type="dcterms:W3CDTF">2017-01-30T11:20:00Z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